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B3E" w:rsidRDefault="00A77B3E">
      <w:pPr>
        <w:rPr>
          <w:color w:val="000000"/>
        </w:rPr>
      </w:pPr>
      <w:bookmarkStart w:id="0" w:name="_GoBack"/>
      <w:bookmarkEnd w:id="0"/>
    </w:p>
    <w:p w:rsidR="00A77B3E" w:rsidRDefault="00160246">
      <w:pPr>
        <w:jc w:val="center"/>
        <w:rPr>
          <w:color w:val="000000"/>
        </w:rPr>
      </w:pPr>
      <w:r>
        <w:rPr>
          <w:color w:val="000000"/>
        </w:rPr>
        <w:t xml:space="preserve"> </w:t>
      </w:r>
    </w:p>
    <w:p w:rsidR="00A77B3E" w:rsidRDefault="00160246">
      <w:pPr>
        <w:jc w:val="center"/>
        <w:rPr>
          <w:color w:val="000000"/>
        </w:rPr>
      </w:pPr>
      <w:r>
        <w:rPr>
          <w:noProof/>
          <w:color w:val="000000"/>
          <w:lang w:eastAsia="nb-N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0</wp:posOffset>
            </wp:positionV>
            <wp:extent cx="2088303" cy="241599"/>
            <wp:effectExtent l="0" t="0" r="0" b="0"/>
            <wp:wrapTopAndBottom/>
            <wp:docPr id="100001" name="Bilde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1911069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88303" cy="2415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77B3E" w:rsidRDefault="00160246">
      <w:pPr>
        <w:pStyle w:val="Overskrift1"/>
        <w:jc w:val="center"/>
        <w:rPr>
          <w:color w:val="000000"/>
        </w:rPr>
      </w:pPr>
      <w:bookmarkStart w:id="1" w:name="_Toc256000000"/>
      <w:r>
        <w:rPr>
          <w:color w:val="000000"/>
        </w:rPr>
        <w:t>Forskrift om regulering av fisket etter makrellstørje (Thunnus thynnus) i 2020</w:t>
      </w:r>
      <w:bookmarkEnd w:id="1"/>
    </w:p>
    <w:p w:rsidR="00D540D0" w:rsidRDefault="00D540D0">
      <w:pPr>
        <w:jc w:val="center"/>
        <w:rPr>
          <w:sz w:val="22"/>
        </w:rPr>
      </w:pPr>
    </w:p>
    <w:p w:rsidR="00D540D0" w:rsidRDefault="00D540D0">
      <w:pPr>
        <w:jc w:val="center"/>
        <w:rPr>
          <w:sz w:val="22"/>
        </w:rPr>
      </w:pPr>
      <w:bookmarkStart w:id="2" w:name="documentMeta"/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7562"/>
      </w:tblGrid>
      <w:tr w:rsidR="00D540D0">
        <w:tc>
          <w:tcPr>
            <w:tcW w:w="2000" w:type="dxa"/>
          </w:tcPr>
          <w:p w:rsidR="00D540D0" w:rsidRDefault="00160246">
            <w:pPr>
              <w:spacing w:before="100"/>
              <w:rPr>
                <w:sz w:val="22"/>
              </w:rPr>
            </w:pPr>
            <w:r>
              <w:rPr>
                <w:sz w:val="22"/>
              </w:rPr>
              <w:t>Dato</w:t>
            </w:r>
          </w:p>
        </w:tc>
        <w:tc>
          <w:tcPr>
            <w:tcW w:w="6000" w:type="dxa"/>
          </w:tcPr>
          <w:p w:rsidR="00D540D0" w:rsidRDefault="00160246">
            <w:pPr>
              <w:spacing w:before="100"/>
              <w:rPr>
                <w:sz w:val="22"/>
              </w:rPr>
            </w:pPr>
            <w:r>
              <w:rPr>
                <w:sz w:val="22"/>
              </w:rPr>
              <w:t>FOR-2020-03-09-246</w:t>
            </w:r>
          </w:p>
        </w:tc>
      </w:tr>
      <w:tr w:rsidR="00D540D0">
        <w:tc>
          <w:tcPr>
            <w:tcW w:w="2000" w:type="dxa"/>
          </w:tcPr>
          <w:p w:rsidR="00D540D0" w:rsidRDefault="00160246">
            <w:pPr>
              <w:spacing w:before="100"/>
              <w:rPr>
                <w:sz w:val="22"/>
              </w:rPr>
            </w:pPr>
            <w:r>
              <w:rPr>
                <w:sz w:val="22"/>
              </w:rPr>
              <w:t>Departement</w:t>
            </w:r>
          </w:p>
        </w:tc>
        <w:tc>
          <w:tcPr>
            <w:tcW w:w="6000" w:type="dxa"/>
          </w:tcPr>
          <w:p w:rsidR="00D540D0" w:rsidRDefault="00160246">
            <w:pPr>
              <w:spacing w:before="100"/>
              <w:rPr>
                <w:sz w:val="22"/>
              </w:rPr>
            </w:pPr>
            <w:r>
              <w:rPr>
                <w:sz w:val="22"/>
              </w:rPr>
              <w:t>Nærings- og fiskeridepartementet</w:t>
            </w:r>
          </w:p>
        </w:tc>
      </w:tr>
      <w:tr w:rsidR="00D540D0">
        <w:tc>
          <w:tcPr>
            <w:tcW w:w="2000" w:type="dxa"/>
          </w:tcPr>
          <w:p w:rsidR="00D540D0" w:rsidRDefault="00160246">
            <w:pPr>
              <w:spacing w:before="100"/>
              <w:rPr>
                <w:sz w:val="22"/>
              </w:rPr>
            </w:pPr>
            <w:r>
              <w:rPr>
                <w:sz w:val="22"/>
              </w:rPr>
              <w:t>Avd/dir</w:t>
            </w:r>
          </w:p>
        </w:tc>
        <w:tc>
          <w:tcPr>
            <w:tcW w:w="6000" w:type="dxa"/>
          </w:tcPr>
          <w:p w:rsidR="00D540D0" w:rsidRDefault="00160246">
            <w:pPr>
              <w:spacing w:before="100"/>
              <w:rPr>
                <w:sz w:val="22"/>
              </w:rPr>
            </w:pPr>
            <w:r>
              <w:rPr>
                <w:sz w:val="22"/>
              </w:rPr>
              <w:t>Fiskeri- og havbruksavd.</w:t>
            </w:r>
          </w:p>
        </w:tc>
      </w:tr>
      <w:tr w:rsidR="00D540D0">
        <w:tc>
          <w:tcPr>
            <w:tcW w:w="2000" w:type="dxa"/>
          </w:tcPr>
          <w:p w:rsidR="00D540D0" w:rsidRDefault="00160246">
            <w:pPr>
              <w:spacing w:before="100"/>
              <w:rPr>
                <w:sz w:val="22"/>
              </w:rPr>
            </w:pPr>
            <w:r>
              <w:rPr>
                <w:sz w:val="22"/>
              </w:rPr>
              <w:t>Ikrafttredelse</w:t>
            </w:r>
          </w:p>
        </w:tc>
        <w:tc>
          <w:tcPr>
            <w:tcW w:w="6000" w:type="dxa"/>
          </w:tcPr>
          <w:p w:rsidR="00D540D0" w:rsidRDefault="00160246">
            <w:pPr>
              <w:spacing w:before="100"/>
              <w:rPr>
                <w:sz w:val="22"/>
              </w:rPr>
            </w:pPr>
            <w:r>
              <w:rPr>
                <w:sz w:val="22"/>
              </w:rPr>
              <w:t>09.03.2020 – 31.12.2020</w:t>
            </w:r>
          </w:p>
        </w:tc>
      </w:tr>
      <w:tr w:rsidR="00D540D0">
        <w:tc>
          <w:tcPr>
            <w:tcW w:w="2000" w:type="dxa"/>
          </w:tcPr>
          <w:p w:rsidR="00D540D0" w:rsidRDefault="00160246">
            <w:pPr>
              <w:spacing w:before="100"/>
              <w:rPr>
                <w:sz w:val="22"/>
              </w:rPr>
            </w:pPr>
            <w:r>
              <w:rPr>
                <w:sz w:val="22"/>
              </w:rPr>
              <w:t>Sist endret</w:t>
            </w:r>
          </w:p>
        </w:tc>
        <w:tc>
          <w:tcPr>
            <w:tcW w:w="6000" w:type="dxa"/>
          </w:tcPr>
          <w:p w:rsidR="00D540D0" w:rsidRDefault="00160246">
            <w:pPr>
              <w:spacing w:before="100"/>
              <w:rPr>
                <w:sz w:val="22"/>
              </w:rPr>
            </w:pPr>
            <w:r>
              <w:rPr>
                <w:sz w:val="22"/>
              </w:rPr>
              <w:t>FOR-2020-03-25-689</w:t>
            </w:r>
          </w:p>
        </w:tc>
      </w:tr>
      <w:tr w:rsidR="00D540D0">
        <w:tc>
          <w:tcPr>
            <w:tcW w:w="2000" w:type="dxa"/>
          </w:tcPr>
          <w:p w:rsidR="00D540D0" w:rsidRDefault="00160246">
            <w:pPr>
              <w:spacing w:before="100"/>
              <w:rPr>
                <w:sz w:val="22"/>
              </w:rPr>
            </w:pPr>
            <w:r>
              <w:rPr>
                <w:sz w:val="22"/>
              </w:rPr>
              <w:t>Endrer</w:t>
            </w:r>
          </w:p>
        </w:tc>
        <w:tc>
          <w:tcPr>
            <w:tcW w:w="6000" w:type="dxa"/>
          </w:tcPr>
          <w:p w:rsidR="00D540D0" w:rsidRDefault="00160246">
            <w:pPr>
              <w:spacing w:before="100"/>
              <w:rPr>
                <w:sz w:val="22"/>
              </w:rPr>
            </w:pPr>
            <w:r>
              <w:rPr>
                <w:sz w:val="22"/>
              </w:rPr>
              <w:t>FOR-2019-12-12-1716</w:t>
            </w:r>
          </w:p>
        </w:tc>
      </w:tr>
      <w:tr w:rsidR="00D540D0">
        <w:tc>
          <w:tcPr>
            <w:tcW w:w="2000" w:type="dxa"/>
          </w:tcPr>
          <w:p w:rsidR="00D540D0" w:rsidRDefault="00160246">
            <w:pPr>
              <w:spacing w:before="100"/>
              <w:rPr>
                <w:sz w:val="22"/>
              </w:rPr>
            </w:pPr>
            <w:r>
              <w:rPr>
                <w:sz w:val="22"/>
              </w:rPr>
              <w:t>Gjelder for</w:t>
            </w:r>
          </w:p>
        </w:tc>
        <w:tc>
          <w:tcPr>
            <w:tcW w:w="6000" w:type="dxa"/>
          </w:tcPr>
          <w:p w:rsidR="00D540D0" w:rsidRDefault="00160246">
            <w:pPr>
              <w:spacing w:before="100"/>
              <w:rPr>
                <w:sz w:val="22"/>
              </w:rPr>
            </w:pPr>
            <w:r>
              <w:rPr>
                <w:sz w:val="22"/>
              </w:rPr>
              <w:t>Norge</w:t>
            </w:r>
          </w:p>
        </w:tc>
      </w:tr>
      <w:tr w:rsidR="00D540D0">
        <w:tc>
          <w:tcPr>
            <w:tcW w:w="2000" w:type="dxa"/>
          </w:tcPr>
          <w:p w:rsidR="00D540D0" w:rsidRDefault="00160246">
            <w:pPr>
              <w:spacing w:before="100"/>
              <w:rPr>
                <w:sz w:val="22"/>
              </w:rPr>
            </w:pPr>
            <w:r>
              <w:rPr>
                <w:sz w:val="22"/>
              </w:rPr>
              <w:t>Hjemmel</w:t>
            </w:r>
          </w:p>
        </w:tc>
        <w:tc>
          <w:tcPr>
            <w:tcW w:w="6000" w:type="dxa"/>
          </w:tcPr>
          <w:p w:rsidR="00D540D0" w:rsidRDefault="00160246">
            <w:pPr>
              <w:spacing w:before="100"/>
              <w:rPr>
                <w:sz w:val="22"/>
              </w:rPr>
            </w:pPr>
            <w:r>
              <w:rPr>
                <w:sz w:val="22"/>
              </w:rPr>
              <w:t>LOV-2008-06-06-37-§11, LOV-2008-06-06-37-§12, LOV-2008-06-06-37-§16, LOV-2008-06-06-37-§22, LOV-2008-06-06-37-§34, LOV-2008-06-06-37-§36, LOV-2008-06-06-37-§37, LOV-2008-06-06-37-§4</w:t>
            </w:r>
            <w:r>
              <w:rPr>
                <w:sz w:val="22"/>
              </w:rPr>
              <w:t>6, LOV-2008-06-06-37-§47, LOV-2008-06-06-37-§52, LOV-2008-06-06-37-§59, LOV-1999-03-26-15-§12, LOV-1999-03-26-15-§20, LOV-1999-03-26-15-§21, FOR-2000-02-11-99</w:t>
            </w:r>
          </w:p>
        </w:tc>
      </w:tr>
      <w:tr w:rsidR="00D540D0">
        <w:tc>
          <w:tcPr>
            <w:tcW w:w="2000" w:type="dxa"/>
          </w:tcPr>
          <w:p w:rsidR="00D540D0" w:rsidRDefault="00160246">
            <w:pPr>
              <w:spacing w:before="100"/>
              <w:rPr>
                <w:sz w:val="22"/>
              </w:rPr>
            </w:pPr>
            <w:r>
              <w:rPr>
                <w:sz w:val="22"/>
              </w:rPr>
              <w:t>Kunngjort</w:t>
            </w:r>
          </w:p>
        </w:tc>
        <w:tc>
          <w:tcPr>
            <w:tcW w:w="6000" w:type="dxa"/>
          </w:tcPr>
          <w:p w:rsidR="00D540D0" w:rsidRDefault="00160246">
            <w:pPr>
              <w:spacing w:before="100"/>
              <w:rPr>
                <w:sz w:val="22"/>
              </w:rPr>
            </w:pPr>
            <w:r>
              <w:rPr>
                <w:sz w:val="22"/>
              </w:rPr>
              <w:t>10.03.2020   kl. 14.00</w:t>
            </w:r>
          </w:p>
        </w:tc>
      </w:tr>
      <w:tr w:rsidR="00D540D0">
        <w:tc>
          <w:tcPr>
            <w:tcW w:w="2000" w:type="dxa"/>
          </w:tcPr>
          <w:p w:rsidR="00D540D0" w:rsidRDefault="00160246">
            <w:pPr>
              <w:spacing w:before="100"/>
              <w:rPr>
                <w:sz w:val="22"/>
              </w:rPr>
            </w:pPr>
            <w:r>
              <w:rPr>
                <w:sz w:val="22"/>
              </w:rPr>
              <w:t>Korttittel</w:t>
            </w:r>
          </w:p>
        </w:tc>
        <w:tc>
          <w:tcPr>
            <w:tcW w:w="6000" w:type="dxa"/>
          </w:tcPr>
          <w:p w:rsidR="00D540D0" w:rsidRDefault="00160246">
            <w:pPr>
              <w:spacing w:before="100"/>
              <w:rPr>
                <w:sz w:val="22"/>
              </w:rPr>
            </w:pPr>
            <w:r>
              <w:rPr>
                <w:sz w:val="22"/>
              </w:rPr>
              <w:t>Forskrift om regulering av fisket etter makrellstør</w:t>
            </w:r>
            <w:r>
              <w:rPr>
                <w:sz w:val="22"/>
              </w:rPr>
              <w:t>je (</w:t>
            </w:r>
            <w:r>
              <w:rPr>
                <w:i/>
                <w:sz w:val="22"/>
              </w:rPr>
              <w:t>Thunnus thynnus</w:t>
            </w:r>
            <w:r>
              <w:rPr>
                <w:sz w:val="22"/>
              </w:rPr>
              <w:t>) i 2020</w:t>
            </w:r>
          </w:p>
        </w:tc>
      </w:tr>
    </w:tbl>
    <w:p w:rsidR="00D540D0" w:rsidRDefault="00D540D0">
      <w:pPr>
        <w:spacing w:before="100"/>
        <w:jc w:val="center"/>
        <w:rPr>
          <w:sz w:val="22"/>
        </w:rPr>
      </w:pPr>
    </w:p>
    <w:p w:rsidR="00D540D0" w:rsidRDefault="00160246">
      <w:pPr>
        <w:jc w:val="center"/>
        <w:rPr>
          <w:sz w:val="22"/>
        </w:rPr>
      </w:pPr>
      <w:r>
        <w:pict>
          <v:rect id="_x0000_i1025" style="width:493.3pt;height:2.25pt" o:hralign="center" o:hrstd="t" o:hrnoshade="t" o:hr="t" fillcolor="#cd0c1a" stroked="f">
            <v:path strokeok="f"/>
          </v:rect>
        </w:pict>
      </w:r>
    </w:p>
    <w:p w:rsidR="00D540D0" w:rsidRDefault="00160246">
      <w:pPr>
        <w:jc w:val="center"/>
        <w:rPr>
          <w:sz w:val="22"/>
        </w:rPr>
      </w:pPr>
      <w:r>
        <w:rPr>
          <w:sz w:val="22"/>
        </w:rPr>
        <w:br w:type="page"/>
      </w:r>
      <w:bookmarkEnd w:id="2"/>
    </w:p>
    <w:p w:rsidR="00D540D0" w:rsidRDefault="00160246">
      <w:pPr>
        <w:pStyle w:val="Overskrift2"/>
        <w:spacing w:before="0" w:after="0"/>
        <w:jc w:val="center"/>
        <w:rPr>
          <w:sz w:val="22"/>
        </w:rPr>
      </w:pPr>
      <w:bookmarkStart w:id="3" w:name="_Toc256000001"/>
      <w:r>
        <w:rPr>
          <w:sz w:val="22"/>
        </w:rPr>
        <w:t>Innholdsfortegnelse</w:t>
      </w:r>
      <w:bookmarkEnd w:id="3"/>
    </w:p>
    <w:p w:rsidR="00D540D0" w:rsidRDefault="00160246">
      <w:pPr>
        <w:pStyle w:val="INNH1"/>
        <w:tabs>
          <w:tab w:val="right" w:leader="dot" w:pos="9456"/>
        </w:tabs>
        <w:ind w:right="1000"/>
        <w:rPr>
          <w:rFonts w:ascii="Calibri" w:hAnsi="Calibri"/>
          <w:noProof/>
        </w:rPr>
      </w:pPr>
      <w:r>
        <w:fldChar w:fldCharType="begin"/>
      </w:r>
      <w:r>
        <w:instrText>TOC \o "1-9" \z \u \h</w:instrText>
      </w:r>
      <w:r>
        <w:fldChar w:fldCharType="separate"/>
      </w:r>
      <w:hyperlink w:anchor="_Toc256000000" w:history="1">
        <w:r w:rsidR="00A77B3E">
          <w:rPr>
            <w:rStyle w:val="Hyperkobling"/>
          </w:rPr>
          <w:t>Forskrift om regulering av fisket etter makrellstørje (Thunnus thynnus) i 2020</w:t>
        </w:r>
        <w:r>
          <w:tab/>
        </w:r>
        <w:r>
          <w:fldChar w:fldCharType="begin"/>
        </w:r>
        <w:r>
          <w:instrText xml:space="preserve"> PAGEREF _Toc256000000 \h </w:instrText>
        </w:r>
        <w:r>
          <w:fldChar w:fldCharType="separate"/>
        </w:r>
        <w:r>
          <w:t>1</w:t>
        </w:r>
        <w:r>
          <w:fldChar w:fldCharType="end"/>
        </w:r>
      </w:hyperlink>
    </w:p>
    <w:p w:rsidR="00D540D0" w:rsidRDefault="00160246">
      <w:pPr>
        <w:pStyle w:val="INNH2"/>
        <w:tabs>
          <w:tab w:val="right" w:leader="dot" w:pos="9456"/>
        </w:tabs>
        <w:ind w:right="1000"/>
        <w:rPr>
          <w:rFonts w:ascii="Calibri" w:hAnsi="Calibri"/>
          <w:noProof/>
        </w:rPr>
      </w:pPr>
      <w:hyperlink w:anchor="_Toc256000001" w:history="1">
        <w:r>
          <w:rPr>
            <w:rStyle w:val="Hyperkobling"/>
          </w:rPr>
          <w:t>Innholdsfortegnelse</w:t>
        </w:r>
        <w:r>
          <w:tab/>
        </w:r>
        <w:r>
          <w:fldChar w:fldCharType="begin"/>
        </w:r>
        <w:r>
          <w:instrText xml:space="preserve"> PAGEREF _Toc256000001 \h </w:instrText>
        </w:r>
        <w:r>
          <w:fldChar w:fldCharType="separate"/>
        </w:r>
        <w:r>
          <w:t>2</w:t>
        </w:r>
        <w:r>
          <w:fldChar w:fldCharType="end"/>
        </w:r>
      </w:hyperlink>
    </w:p>
    <w:p w:rsidR="00D540D0" w:rsidRDefault="00160246">
      <w:pPr>
        <w:pStyle w:val="Overskrift2"/>
        <w:spacing w:before="0" w:after="0"/>
        <w:jc w:val="center"/>
        <w:rPr>
          <w:sz w:val="22"/>
        </w:rPr>
      </w:pPr>
      <w:r>
        <w:rPr>
          <w:sz w:val="22"/>
        </w:rPr>
        <w:fldChar w:fldCharType="end"/>
      </w:r>
      <w:r>
        <w:rPr>
          <w:sz w:val="22"/>
        </w:rPr>
        <w:br w:type="page"/>
      </w:r>
    </w:p>
    <w:p w:rsidR="00D540D0" w:rsidRDefault="00D540D0">
      <w:pPr>
        <w:rPr>
          <w:sz w:val="6"/>
        </w:rPr>
      </w:pPr>
      <w:bookmarkStart w:id="4" w:name="documentBody"/>
    </w:p>
    <w:p w:rsidR="00D540D0" w:rsidRDefault="00160246">
      <w:pPr>
        <w:rPr>
          <w:b/>
          <w:sz w:val="18"/>
        </w:rPr>
      </w:pPr>
      <w:r>
        <w:rPr>
          <w:b/>
          <w:sz w:val="18"/>
        </w:rPr>
        <w:t>Hjemmel:</w:t>
      </w:r>
      <w:r>
        <w:rPr>
          <w:sz w:val="18"/>
        </w:rPr>
        <w:t xml:space="preserve"> Fastsatt av Nærings- og fisk</w:t>
      </w:r>
      <w:r>
        <w:rPr>
          <w:sz w:val="18"/>
        </w:rPr>
        <w:t xml:space="preserve">eridepartementet 9. mars 2020 med hjemmel i </w:t>
      </w:r>
      <w:hyperlink r:id="rId7" w:anchor="reference/lov/2008-06-06-37" w:history="1">
        <w:r>
          <w:rPr>
            <w:sz w:val="18"/>
          </w:rPr>
          <w:t>lov 6. juni 2008 nr. 37</w:t>
        </w:r>
      </w:hyperlink>
      <w:r>
        <w:rPr>
          <w:sz w:val="18"/>
        </w:rPr>
        <w:t xml:space="preserve"> om forvaltning av viltlevande marine ressursar (havressurslova) </w:t>
      </w:r>
      <w:hyperlink r:id="rId8" w:anchor="reference/lov/2008-06-06-37/§11" w:history="1">
        <w:r>
          <w:rPr>
            <w:sz w:val="18"/>
          </w:rPr>
          <w:t>§ 11</w:t>
        </w:r>
      </w:hyperlink>
      <w:r>
        <w:rPr>
          <w:sz w:val="18"/>
        </w:rPr>
        <w:t xml:space="preserve">, </w:t>
      </w:r>
      <w:hyperlink r:id="rId9" w:anchor="reference/lov/2008-06-06-37/§12" w:history="1">
        <w:r>
          <w:rPr>
            <w:sz w:val="18"/>
          </w:rPr>
          <w:t>§ 12</w:t>
        </w:r>
      </w:hyperlink>
      <w:r>
        <w:rPr>
          <w:sz w:val="18"/>
        </w:rPr>
        <w:t xml:space="preserve">, </w:t>
      </w:r>
      <w:hyperlink r:id="rId10" w:anchor="reference/lov/2008-06-06-37/§16" w:history="1">
        <w:r>
          <w:rPr>
            <w:sz w:val="18"/>
          </w:rPr>
          <w:t>§ 16</w:t>
        </w:r>
      </w:hyperlink>
      <w:r>
        <w:rPr>
          <w:sz w:val="18"/>
        </w:rPr>
        <w:t xml:space="preserve">, </w:t>
      </w:r>
      <w:hyperlink r:id="rId11" w:anchor="reference/lov/2008-06-06-37/§22" w:history="1">
        <w:r>
          <w:rPr>
            <w:sz w:val="18"/>
          </w:rPr>
          <w:t>§ 22</w:t>
        </w:r>
      </w:hyperlink>
      <w:r>
        <w:rPr>
          <w:sz w:val="18"/>
        </w:rPr>
        <w:t xml:space="preserve">, </w:t>
      </w:r>
      <w:hyperlink r:id="rId12" w:anchor="reference/lov/2008-06-06-37/§34" w:history="1">
        <w:r>
          <w:rPr>
            <w:sz w:val="18"/>
          </w:rPr>
          <w:t>§ 34</w:t>
        </w:r>
      </w:hyperlink>
      <w:r>
        <w:rPr>
          <w:sz w:val="18"/>
        </w:rPr>
        <w:t xml:space="preserve">, </w:t>
      </w:r>
      <w:hyperlink r:id="rId13" w:anchor="reference/lov/2008-06-06-37/§36" w:history="1">
        <w:r>
          <w:rPr>
            <w:sz w:val="18"/>
          </w:rPr>
          <w:t>§ 36</w:t>
        </w:r>
      </w:hyperlink>
      <w:r>
        <w:rPr>
          <w:sz w:val="18"/>
        </w:rPr>
        <w:t xml:space="preserve">, </w:t>
      </w:r>
      <w:hyperlink r:id="rId14" w:anchor="reference/lov/2008-06-06-37/§37" w:history="1">
        <w:r>
          <w:rPr>
            <w:sz w:val="18"/>
          </w:rPr>
          <w:t>§ 37</w:t>
        </w:r>
      </w:hyperlink>
      <w:r>
        <w:rPr>
          <w:sz w:val="18"/>
        </w:rPr>
        <w:t xml:space="preserve">, </w:t>
      </w:r>
      <w:hyperlink r:id="rId15" w:anchor="reference/lov/2008-06-06-37/§46" w:history="1">
        <w:r>
          <w:rPr>
            <w:sz w:val="18"/>
          </w:rPr>
          <w:t>§ 46</w:t>
        </w:r>
      </w:hyperlink>
      <w:r>
        <w:rPr>
          <w:sz w:val="18"/>
        </w:rPr>
        <w:t xml:space="preserve">, </w:t>
      </w:r>
      <w:hyperlink r:id="rId16" w:anchor="reference/lov/2008-06-06-37/§47" w:history="1">
        <w:r>
          <w:rPr>
            <w:sz w:val="18"/>
          </w:rPr>
          <w:t>§ 47</w:t>
        </w:r>
      </w:hyperlink>
      <w:r>
        <w:rPr>
          <w:sz w:val="18"/>
        </w:rPr>
        <w:t xml:space="preserve">, </w:t>
      </w:r>
      <w:hyperlink r:id="rId17" w:anchor="reference/lov/2008-06-06-37/§52" w:history="1">
        <w:r>
          <w:rPr>
            <w:sz w:val="18"/>
          </w:rPr>
          <w:t>§ 52</w:t>
        </w:r>
      </w:hyperlink>
      <w:r>
        <w:rPr>
          <w:sz w:val="18"/>
        </w:rPr>
        <w:t xml:space="preserve"> og </w:t>
      </w:r>
      <w:hyperlink r:id="rId18" w:anchor="reference/lov/2008-06-06-37/§59" w:history="1">
        <w:r>
          <w:rPr>
            <w:sz w:val="18"/>
          </w:rPr>
          <w:t>§ 59</w:t>
        </w:r>
      </w:hyperlink>
      <w:r>
        <w:rPr>
          <w:sz w:val="18"/>
        </w:rPr>
        <w:t xml:space="preserve"> og </w:t>
      </w:r>
      <w:hyperlink r:id="rId19" w:anchor="reference/lov/1999-03-26-15" w:history="1">
        <w:r>
          <w:rPr>
            <w:sz w:val="18"/>
          </w:rPr>
          <w:t>lov 26. mars 1999 nr. 15</w:t>
        </w:r>
      </w:hyperlink>
      <w:r>
        <w:rPr>
          <w:sz w:val="18"/>
        </w:rPr>
        <w:t xml:space="preserve"> om retten til å delta i fiske og fangst (deltakerloven) </w:t>
      </w:r>
      <w:hyperlink r:id="rId20" w:anchor="reference/lov/1999-03-26-15/§12" w:history="1">
        <w:r>
          <w:rPr>
            <w:sz w:val="18"/>
          </w:rPr>
          <w:t>§ 12</w:t>
        </w:r>
      </w:hyperlink>
      <w:r>
        <w:rPr>
          <w:sz w:val="18"/>
        </w:rPr>
        <w:t xml:space="preserve">, </w:t>
      </w:r>
      <w:hyperlink r:id="rId21" w:anchor="reference/lov/1999-03-26-15/§20" w:history="1">
        <w:r>
          <w:rPr>
            <w:sz w:val="18"/>
          </w:rPr>
          <w:t>§ 20</w:t>
        </w:r>
      </w:hyperlink>
      <w:r>
        <w:rPr>
          <w:sz w:val="18"/>
        </w:rPr>
        <w:t xml:space="preserve"> og </w:t>
      </w:r>
      <w:hyperlink r:id="rId22" w:anchor="reference/lov/1999-03-26-15/§21" w:history="1">
        <w:r>
          <w:rPr>
            <w:sz w:val="18"/>
          </w:rPr>
          <w:t>§ 21</w:t>
        </w:r>
      </w:hyperlink>
      <w:r>
        <w:rPr>
          <w:sz w:val="18"/>
        </w:rPr>
        <w:t xml:space="preserve">, jf. </w:t>
      </w:r>
      <w:hyperlink r:id="rId23" w:anchor="reference/forskrift/2000-02-11-99" w:history="1">
        <w:r>
          <w:rPr>
            <w:sz w:val="18"/>
          </w:rPr>
          <w:t>delegeringsvedtak 11. februar 2000 nr. 99</w:t>
        </w:r>
      </w:hyperlink>
      <w:r>
        <w:rPr>
          <w:sz w:val="18"/>
        </w:rPr>
        <w:t>.</w:t>
      </w:r>
      <w:r>
        <w:rPr>
          <w:sz w:val="18"/>
        </w:rPr>
        <w:br/>
      </w:r>
      <w:r>
        <w:rPr>
          <w:b/>
          <w:sz w:val="18"/>
        </w:rPr>
        <w:t>Endringer:</w:t>
      </w:r>
      <w:r>
        <w:rPr>
          <w:sz w:val="18"/>
        </w:rPr>
        <w:t xml:space="preserve"> Endret ved </w:t>
      </w:r>
      <w:hyperlink r:id="rId24" w:anchor="reference/forskrift/2020-03-19-366" w:history="1">
        <w:r>
          <w:rPr>
            <w:sz w:val="18"/>
          </w:rPr>
          <w:t>forskrifter 19 mars 2020 nr. 366</w:t>
        </w:r>
      </w:hyperlink>
      <w:r>
        <w:rPr>
          <w:sz w:val="18"/>
        </w:rPr>
        <w:t xml:space="preserve">, </w:t>
      </w:r>
      <w:hyperlink r:id="rId25" w:anchor="reference/forskrift/2020-03-25-689" w:history="1">
        <w:r>
          <w:rPr>
            <w:sz w:val="18"/>
          </w:rPr>
          <w:t>25 mars 2020 nr. 689</w:t>
        </w:r>
      </w:hyperlink>
      <w:r>
        <w:rPr>
          <w:sz w:val="18"/>
        </w:rPr>
        <w:t>.</w:t>
      </w:r>
      <w:bookmarkStart w:id="5" w:name="PARAGRAF_1"/>
    </w:p>
    <w:p w:rsidR="00D540D0" w:rsidRDefault="00D540D0">
      <w:pPr>
        <w:rPr>
          <w:sz w:val="22"/>
        </w:rPr>
      </w:pPr>
    </w:p>
    <w:p w:rsidR="00D540D0" w:rsidRDefault="00160246">
      <w:pPr>
        <w:rPr>
          <w:b/>
          <w:sz w:val="22"/>
        </w:rPr>
      </w:pPr>
      <w:bookmarkStart w:id="6" w:name="§1"/>
      <w:bookmarkEnd w:id="6"/>
      <w:r>
        <w:rPr>
          <w:b/>
          <w:sz w:val="22"/>
        </w:rPr>
        <w:t>§ 1.</w:t>
      </w:r>
      <w:r>
        <w:rPr>
          <w:sz w:val="22"/>
        </w:rPr>
        <w:t xml:space="preserve"> </w:t>
      </w:r>
      <w:r>
        <w:rPr>
          <w:b/>
          <w:i/>
          <w:sz w:val="22"/>
        </w:rPr>
        <w:t>Generelt forbud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>Det er forbudt for norske fartøy å fiske og lande makrellstørje (</w:t>
      </w:r>
      <w:r>
        <w:rPr>
          <w:i/>
          <w:sz w:val="22"/>
        </w:rPr>
        <w:t>Thunnus thynnus</w:t>
      </w:r>
      <w:r>
        <w:rPr>
          <w:sz w:val="22"/>
        </w:rPr>
        <w:t>) i 2020. Forbudet gjelder også sport- og rekreasjonsfiske.</w:t>
      </w:r>
      <w:bookmarkStart w:id="7" w:name="PARAGRAF_2"/>
      <w:bookmarkEnd w:id="5"/>
    </w:p>
    <w:p w:rsidR="00D540D0" w:rsidRDefault="00D540D0">
      <w:pPr>
        <w:rPr>
          <w:sz w:val="22"/>
        </w:rPr>
      </w:pPr>
    </w:p>
    <w:p w:rsidR="00D540D0" w:rsidRDefault="00160246">
      <w:pPr>
        <w:rPr>
          <w:b/>
          <w:sz w:val="22"/>
        </w:rPr>
      </w:pPr>
      <w:bookmarkStart w:id="8" w:name="§2"/>
      <w:bookmarkEnd w:id="8"/>
      <w:r>
        <w:rPr>
          <w:b/>
          <w:sz w:val="22"/>
        </w:rPr>
        <w:t>§ 2.</w:t>
      </w:r>
      <w:r>
        <w:rPr>
          <w:sz w:val="22"/>
        </w:rPr>
        <w:t xml:space="preserve"> </w:t>
      </w:r>
      <w:r>
        <w:rPr>
          <w:b/>
          <w:i/>
          <w:sz w:val="22"/>
        </w:rPr>
        <w:t>Totalk</w:t>
      </w:r>
      <w:r>
        <w:rPr>
          <w:b/>
          <w:i/>
          <w:sz w:val="22"/>
        </w:rPr>
        <w:t>vote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 xml:space="preserve">Uten hinder av forbudet i </w:t>
      </w:r>
      <w:hyperlink r:id="rId26" w:anchor="reference/forskrift/2020-03-09-246/§1" w:history="1">
        <w:r>
          <w:rPr>
            <w:sz w:val="22"/>
          </w:rPr>
          <w:t>§ 1</w:t>
        </w:r>
      </w:hyperlink>
      <w:r>
        <w:rPr>
          <w:sz w:val="22"/>
        </w:rPr>
        <w:t xml:space="preserve"> kan norske fartøy med adgang til å delta fiske og lande inntil 311,95 tonn makrellstørje i Norges territorialfarvann og økonomiske sone, fi</w:t>
      </w:r>
      <w:r>
        <w:rPr>
          <w:sz w:val="22"/>
        </w:rPr>
        <w:t>skerisonen ved Jan Mayen og fiskevernsonen ved Svalbard. Av dette kvantumet avsettes 24,95 tonn til bifangst av makrellstørje for fartøy som ikke har adgang til å delta i det direkte fisket, 1 tonn til merk- og slippfisket etter makrellstørje, 5 tonn til r</w:t>
      </w:r>
      <w:r>
        <w:rPr>
          <w:sz w:val="22"/>
        </w:rPr>
        <w:t>ekreasjonsfiske etter makrellstørje og 6 tonn til forskning på levendelagring av makrellstørje.</w:t>
      </w:r>
      <w:bookmarkStart w:id="9" w:name="PARAGRAF_3"/>
      <w:bookmarkEnd w:id="7"/>
    </w:p>
    <w:p w:rsidR="00D540D0" w:rsidRDefault="00D540D0">
      <w:pPr>
        <w:rPr>
          <w:sz w:val="22"/>
        </w:rPr>
      </w:pPr>
    </w:p>
    <w:p w:rsidR="00D540D0" w:rsidRDefault="00160246">
      <w:pPr>
        <w:rPr>
          <w:b/>
          <w:sz w:val="22"/>
        </w:rPr>
      </w:pPr>
      <w:bookmarkStart w:id="10" w:name="§3"/>
      <w:bookmarkEnd w:id="10"/>
      <w:r>
        <w:rPr>
          <w:b/>
          <w:sz w:val="22"/>
        </w:rPr>
        <w:t>§ 3.</w:t>
      </w:r>
      <w:r>
        <w:rPr>
          <w:sz w:val="22"/>
        </w:rPr>
        <w:t xml:space="preserve"> </w:t>
      </w:r>
      <w:r>
        <w:rPr>
          <w:b/>
          <w:i/>
          <w:sz w:val="22"/>
        </w:rPr>
        <w:t>Gruppekvote for fartøy som fisker med not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>Fartøy med adgang til å delta i direktefiske etter makrellstørje, og som fisker med not, kan fiske og lande innt</w:t>
      </w:r>
      <w:r>
        <w:rPr>
          <w:sz w:val="22"/>
        </w:rPr>
        <w:t>il 256 tonn makrellstørje i perioden fra og med 25. juni til og med 15. november.</w:t>
      </w:r>
      <w:bookmarkStart w:id="11" w:name="PARAGRAF_4"/>
      <w:bookmarkEnd w:id="9"/>
    </w:p>
    <w:p w:rsidR="00D540D0" w:rsidRDefault="00D540D0">
      <w:pPr>
        <w:rPr>
          <w:sz w:val="22"/>
        </w:rPr>
      </w:pPr>
    </w:p>
    <w:p w:rsidR="00D540D0" w:rsidRDefault="00160246">
      <w:pPr>
        <w:rPr>
          <w:b/>
          <w:sz w:val="22"/>
        </w:rPr>
      </w:pPr>
      <w:bookmarkStart w:id="12" w:name="§4"/>
      <w:bookmarkEnd w:id="12"/>
      <w:r>
        <w:rPr>
          <w:b/>
          <w:sz w:val="22"/>
        </w:rPr>
        <w:t>§ 4.</w:t>
      </w:r>
      <w:r>
        <w:rPr>
          <w:sz w:val="22"/>
        </w:rPr>
        <w:t xml:space="preserve"> </w:t>
      </w:r>
      <w:r>
        <w:rPr>
          <w:b/>
          <w:i/>
          <w:sz w:val="22"/>
        </w:rPr>
        <w:t>Gruppekvote for fartøy som fisker med line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>Fartøy med adgang til å delta i direktefiske etter makrellstørje, og som fisker med line, kan fiske og lande inntil 19 tonn m</w:t>
      </w:r>
      <w:r>
        <w:rPr>
          <w:sz w:val="22"/>
        </w:rPr>
        <w:t>akrellstørje. Fartøy over 24 meter kan delta i fisket i perioden fra og med 1. august til og med 31. desember. Fartøy under 24 meter kan delta i fisket i perioden fra og med 13. mai til og med 31. desember.</w:t>
      </w:r>
      <w:bookmarkStart w:id="13" w:name="PARAGRAF_5"/>
      <w:bookmarkEnd w:id="11"/>
    </w:p>
    <w:p w:rsidR="00D540D0" w:rsidRDefault="00D540D0">
      <w:pPr>
        <w:rPr>
          <w:sz w:val="22"/>
        </w:rPr>
      </w:pPr>
    </w:p>
    <w:p w:rsidR="00D540D0" w:rsidRDefault="00160246">
      <w:pPr>
        <w:rPr>
          <w:b/>
          <w:sz w:val="22"/>
        </w:rPr>
      </w:pPr>
      <w:bookmarkStart w:id="14" w:name="§5"/>
      <w:bookmarkEnd w:id="14"/>
      <w:r>
        <w:rPr>
          <w:b/>
          <w:sz w:val="22"/>
        </w:rPr>
        <w:t>§ 5.</w:t>
      </w:r>
      <w:r>
        <w:rPr>
          <w:sz w:val="22"/>
        </w:rPr>
        <w:t xml:space="preserve"> </w:t>
      </w:r>
      <w:r>
        <w:rPr>
          <w:b/>
          <w:i/>
          <w:sz w:val="22"/>
        </w:rPr>
        <w:t xml:space="preserve">Gruppekvote for merk- og slipp- og </w:t>
      </w:r>
      <w:r>
        <w:rPr>
          <w:b/>
          <w:i/>
          <w:sz w:val="22"/>
        </w:rPr>
        <w:t>rekreasjonsfiske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>Merk- og slippfiskere med adgang til å delta i fisket kan i perioden 13. mai til og med 31. desember fiske 1 tonn makrellstørje i Norges territorialfarvann og økonomiske sone.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>Rekreasjonsfiskere med adgang til å delta i fisket kan i period</w:t>
      </w:r>
      <w:r>
        <w:rPr>
          <w:sz w:val="22"/>
        </w:rPr>
        <w:t>en 13. mai til og med 31. desember fiske 5 tonn makrellstørje i Norges territorialfarvann og økonomiske sone.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>Rekreasjonsfiske innebærer at et fiskelag kan fiske en makrellstørje til matauk.</w:t>
      </w:r>
      <w:bookmarkStart w:id="15" w:name="PARAGRAF_6"/>
      <w:bookmarkEnd w:id="13"/>
    </w:p>
    <w:p w:rsidR="00D540D0" w:rsidRDefault="00D540D0">
      <w:pPr>
        <w:rPr>
          <w:sz w:val="22"/>
        </w:rPr>
      </w:pPr>
    </w:p>
    <w:p w:rsidR="00D540D0" w:rsidRDefault="00160246">
      <w:pPr>
        <w:rPr>
          <w:b/>
          <w:sz w:val="22"/>
        </w:rPr>
      </w:pPr>
      <w:bookmarkStart w:id="16" w:name="§6"/>
      <w:bookmarkEnd w:id="16"/>
      <w:r>
        <w:rPr>
          <w:b/>
          <w:sz w:val="22"/>
        </w:rPr>
        <w:t>§ 6.</w:t>
      </w:r>
      <w:r>
        <w:rPr>
          <w:sz w:val="22"/>
        </w:rPr>
        <w:t xml:space="preserve"> </w:t>
      </w:r>
      <w:r>
        <w:rPr>
          <w:b/>
          <w:i/>
          <w:sz w:val="22"/>
        </w:rPr>
        <w:t>Fartøykvoter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 xml:space="preserve">Fartøy under 40 meter med tillatelse etter </w:t>
      </w:r>
      <w:hyperlink r:id="rId27" w:anchor="reference/forskrift/2020-03-09-246/§9" w:history="1">
        <w:r>
          <w:rPr>
            <w:sz w:val="22"/>
          </w:rPr>
          <w:t>§ 9</w:t>
        </w:r>
      </w:hyperlink>
      <w:r>
        <w:rPr>
          <w:sz w:val="22"/>
        </w:rPr>
        <w:t xml:space="preserve"> til å fiske med not kan fiske 32 tonn makrellstørje.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 xml:space="preserve">Fartøy over 40 meter med tillatelse etter </w:t>
      </w:r>
      <w:hyperlink r:id="rId28" w:anchor="reference/forskrift/2020-03-09-246/§9" w:history="1">
        <w:r>
          <w:rPr>
            <w:sz w:val="22"/>
          </w:rPr>
          <w:t>§ 9</w:t>
        </w:r>
      </w:hyperlink>
      <w:r>
        <w:rPr>
          <w:sz w:val="22"/>
        </w:rPr>
        <w:t xml:space="preserve"> til å fiske med not kan fiske 32 tonn makrellstørje.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 xml:space="preserve">Fartøy med tillatelse etter </w:t>
      </w:r>
      <w:hyperlink r:id="rId29" w:anchor="reference/forskrift/2020-03-09-246/§9" w:history="1">
        <w:r>
          <w:rPr>
            <w:sz w:val="22"/>
          </w:rPr>
          <w:t>§ 9</w:t>
        </w:r>
      </w:hyperlink>
      <w:r>
        <w:rPr>
          <w:sz w:val="22"/>
        </w:rPr>
        <w:t xml:space="preserve"> til å fiske med line kan fiske 6 tonn makrellstørje.</w:t>
      </w:r>
      <w:bookmarkStart w:id="17" w:name="PARAGRAF_7"/>
      <w:bookmarkEnd w:id="15"/>
    </w:p>
    <w:p w:rsidR="00D540D0" w:rsidRDefault="00D540D0">
      <w:pPr>
        <w:rPr>
          <w:sz w:val="22"/>
        </w:rPr>
      </w:pPr>
    </w:p>
    <w:p w:rsidR="00D540D0" w:rsidRDefault="00160246">
      <w:pPr>
        <w:rPr>
          <w:b/>
          <w:sz w:val="22"/>
        </w:rPr>
      </w:pPr>
      <w:bookmarkStart w:id="18" w:name="§7"/>
      <w:bookmarkEnd w:id="18"/>
      <w:r>
        <w:rPr>
          <w:b/>
          <w:sz w:val="22"/>
        </w:rPr>
        <w:t>§ 7.</w:t>
      </w:r>
      <w:r>
        <w:rPr>
          <w:sz w:val="22"/>
        </w:rPr>
        <w:t xml:space="preserve"> </w:t>
      </w:r>
      <w:r>
        <w:rPr>
          <w:b/>
          <w:i/>
          <w:sz w:val="22"/>
        </w:rPr>
        <w:t>Bifangst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>For fartøy s</w:t>
      </w:r>
      <w:r>
        <w:rPr>
          <w:sz w:val="22"/>
        </w:rPr>
        <w:t>om ikke har adgang til å delta i direktefisket etter makrellstørje, eller når dette fisket ikke er tillatt, er det ved fiske etter andre fiskeslag tillatt å ha inntil 10 makrellstørjer som bifangst i den enkelte landing. Bifangsten etter første punktum kan</w:t>
      </w:r>
      <w:r>
        <w:rPr>
          <w:sz w:val="22"/>
        </w:rPr>
        <w:t xml:space="preserve"> likevel ikke overskride 20 % i vekt av den totale fangst om bord ved landing.</w:t>
      </w:r>
      <w:bookmarkStart w:id="19" w:name="PARAGRAF_8"/>
      <w:bookmarkEnd w:id="17"/>
    </w:p>
    <w:p w:rsidR="00D540D0" w:rsidRDefault="00D540D0">
      <w:pPr>
        <w:rPr>
          <w:sz w:val="22"/>
        </w:rPr>
      </w:pPr>
    </w:p>
    <w:p w:rsidR="00D540D0" w:rsidRDefault="00160246">
      <w:pPr>
        <w:rPr>
          <w:b/>
          <w:sz w:val="22"/>
        </w:rPr>
      </w:pPr>
      <w:bookmarkStart w:id="20" w:name="§8"/>
      <w:bookmarkEnd w:id="20"/>
      <w:r>
        <w:rPr>
          <w:b/>
          <w:sz w:val="22"/>
        </w:rPr>
        <w:t>§ 8.</w:t>
      </w:r>
      <w:r>
        <w:rPr>
          <w:sz w:val="22"/>
        </w:rPr>
        <w:t xml:space="preserve"> </w:t>
      </w:r>
      <w:r>
        <w:rPr>
          <w:b/>
          <w:i/>
          <w:sz w:val="22"/>
        </w:rPr>
        <w:t>Refordelingsdato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 xml:space="preserve">Fiskeridirektoratet kan tidligst endre kvotene i </w:t>
      </w:r>
      <w:hyperlink r:id="rId30" w:anchor="reference/forskrift/2020-03-09-246/§6" w:history="1">
        <w:r>
          <w:rPr>
            <w:sz w:val="22"/>
          </w:rPr>
          <w:t>§ 6</w:t>
        </w:r>
      </w:hyperlink>
      <w:r>
        <w:rPr>
          <w:sz w:val="22"/>
        </w:rPr>
        <w:t xml:space="preserve"> den 16. september 2</w:t>
      </w:r>
      <w:r>
        <w:rPr>
          <w:sz w:val="22"/>
        </w:rPr>
        <w:t>020, med mindre særlige forhold tilsier en tidligere dato.</w:t>
      </w:r>
      <w:bookmarkStart w:id="21" w:name="PARAGRAF_9"/>
      <w:bookmarkEnd w:id="19"/>
    </w:p>
    <w:p w:rsidR="00D540D0" w:rsidRDefault="00D540D0">
      <w:pPr>
        <w:rPr>
          <w:sz w:val="22"/>
        </w:rPr>
      </w:pPr>
    </w:p>
    <w:p w:rsidR="00D540D0" w:rsidRDefault="00160246">
      <w:pPr>
        <w:rPr>
          <w:b/>
          <w:sz w:val="22"/>
        </w:rPr>
      </w:pPr>
      <w:bookmarkStart w:id="22" w:name="§9"/>
      <w:bookmarkEnd w:id="22"/>
      <w:r>
        <w:rPr>
          <w:b/>
          <w:sz w:val="22"/>
        </w:rPr>
        <w:t>§ 9.</w:t>
      </w:r>
      <w:r>
        <w:rPr>
          <w:sz w:val="22"/>
        </w:rPr>
        <w:t xml:space="preserve"> </w:t>
      </w:r>
      <w:r>
        <w:rPr>
          <w:b/>
          <w:i/>
          <w:sz w:val="22"/>
        </w:rPr>
        <w:t>Påmelding og tillatelse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>Ingen fartøy eller merk- og slipp- eller rekreasjonsfiskere kan delta i fisket etter makrellstørje uten tillatelse fra Fiskeridirektoratet.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lastRenderedPageBreak/>
        <w:t>Syv fartøy som fisker med n</w:t>
      </w:r>
      <w:r>
        <w:rPr>
          <w:sz w:val="22"/>
        </w:rPr>
        <w:t>ot og som har en største lengde til og med 40 meter kan delta i fisket.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>Ett fartøy som fisker med not og som har en største lengde over 40 meter kan delta i fisket.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>Tre fartøy som fisker med line kan delta i fisket.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 xml:space="preserve">Fiskeridirektøren kan, etter en konkret </w:t>
      </w:r>
      <w:r>
        <w:rPr>
          <w:sz w:val="22"/>
        </w:rPr>
        <w:t>helhetsvurdering av innkomne søknader, fastsette antall merk- og slipp- og rekreasjonsfiskelag som får delta i fisket etter makrellstørje.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>Fartøy og merk- og slipp- og rekreasjonsfiskelag som ønsker å delta i fisket, må sende påmelding til Fiskeridirektora</w:t>
      </w:r>
      <w:r>
        <w:rPr>
          <w:sz w:val="22"/>
        </w:rPr>
        <w:t xml:space="preserve">tet via lenke på </w:t>
      </w:r>
      <w:hyperlink r:id="rId31" w:history="1">
        <w:r>
          <w:rPr>
            <w:sz w:val="22"/>
          </w:rPr>
          <w:t>www.fiskeridir.no</w:t>
        </w:r>
      </w:hyperlink>
      <w:r>
        <w:rPr>
          <w:sz w:val="22"/>
        </w:rPr>
        <w:t>. Påmelding kan eventuelt sendes pr. post til pb. 185 Sentrum, 5804 Bergen. Påmelding merkes med «makrellstørje – line», «makrellstørje – not – under 40 meter», «makrellstørje – no</w:t>
      </w:r>
      <w:r>
        <w:rPr>
          <w:sz w:val="22"/>
        </w:rPr>
        <w:t>t – over 40 meter» eller «makrellstørje – merk- og slipp- og rekreasjonsfiske». Påmelding for fartøy må være sendt senest 23. mars 2020. Påmelding for merk- og slipp- og rekreasjonsfiskelag må være sendt senest 16. april 2020.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>Det er et vilkår for deltakel</w:t>
      </w:r>
      <w:r>
        <w:rPr>
          <w:sz w:val="22"/>
        </w:rPr>
        <w:t xml:space="preserve">se i fisket at kravene som fremgår av </w:t>
      </w:r>
      <w:hyperlink r:id="rId32" w:anchor="reference/forskrift/2020-03-09-246/§10" w:history="1">
        <w:r>
          <w:rPr>
            <w:sz w:val="22"/>
          </w:rPr>
          <w:t>§§ 10</w:t>
        </w:r>
      </w:hyperlink>
      <w:r>
        <w:rPr>
          <w:sz w:val="22"/>
        </w:rPr>
        <w:t xml:space="preserve"> og </w:t>
      </w:r>
      <w:hyperlink r:id="rId33" w:anchor="reference/forskrift/2020-03-09-246/§11" w:history="1">
        <w:r>
          <w:rPr>
            <w:sz w:val="22"/>
          </w:rPr>
          <w:t>11</w:t>
        </w:r>
      </w:hyperlink>
      <w:r>
        <w:rPr>
          <w:sz w:val="22"/>
        </w:rPr>
        <w:t xml:space="preserve"> er oppfylt.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>Dersom det er flere fartøy p</w:t>
      </w:r>
      <w:r>
        <w:rPr>
          <w:sz w:val="22"/>
        </w:rPr>
        <w:t>åmeldt til fiske i de ulike gruppene som nevnt i annet til femte ledd, vil deltakelsen bli avgjort ved loddtrekning.</w:t>
      </w:r>
    </w:p>
    <w:p w:rsidR="00D540D0" w:rsidRDefault="00D540D0">
      <w:pPr>
        <w:spacing w:before="120"/>
        <w:rPr>
          <w:sz w:val="6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"/>
        <w:gridCol w:w="9866"/>
      </w:tblGrid>
      <w:tr w:rsidR="00D540D0">
        <w:tc>
          <w:tcPr>
            <w:tcW w:w="0" w:type="dxa"/>
            <w:noWrap/>
            <w:tcMar>
              <w:right w:w="80" w:type="dxa"/>
            </w:tcMar>
          </w:tcPr>
          <w:p w:rsidR="00D540D0" w:rsidRDefault="00160246">
            <w:pPr>
              <w:pStyle w:val="Fotnotetekst"/>
              <w:spacing w:before="2" w:after="2"/>
              <w:jc w:val="right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9866" w:type="dxa"/>
            <w:noWrap/>
            <w:tcMar>
              <w:right w:w="80" w:type="dxa"/>
            </w:tcMar>
          </w:tcPr>
          <w:p w:rsidR="00D540D0" w:rsidRDefault="00160246">
            <w:pPr>
              <w:pStyle w:val="Fotnotetekst"/>
              <w:spacing w:before="2" w:after="2"/>
              <w:rPr>
                <w:sz w:val="18"/>
              </w:rPr>
            </w:pPr>
            <w:r>
              <w:rPr>
                <w:sz w:val="18"/>
              </w:rPr>
              <w:t xml:space="preserve">Endret ved </w:t>
            </w:r>
            <w:hyperlink r:id="rId34" w:anchor="reference/forskrift/2020-03-19-366" w:history="1">
              <w:r>
                <w:rPr>
                  <w:sz w:val="18"/>
                </w:rPr>
                <w:t>forskrifter 19 mars 2020 nr. 366</w:t>
              </w:r>
            </w:hyperlink>
            <w:r>
              <w:rPr>
                <w:sz w:val="18"/>
              </w:rPr>
              <w:t xml:space="preserve">, </w:t>
            </w:r>
            <w:hyperlink r:id="rId35" w:anchor="reference/forskrift/2020-03-25-689" w:history="1">
              <w:r>
                <w:rPr>
                  <w:sz w:val="18"/>
                </w:rPr>
                <w:t>25 mars 2020 nr. 689</w:t>
              </w:r>
            </w:hyperlink>
            <w:r>
              <w:rPr>
                <w:sz w:val="18"/>
              </w:rPr>
              <w:t>.</w:t>
            </w:r>
          </w:p>
        </w:tc>
      </w:tr>
    </w:tbl>
    <w:p w:rsidR="00D540D0" w:rsidRDefault="00D540D0">
      <w:pPr>
        <w:rPr>
          <w:sz w:val="22"/>
        </w:rPr>
      </w:pPr>
      <w:bookmarkStart w:id="23" w:name="PARAGRAF_10"/>
      <w:bookmarkEnd w:id="21"/>
    </w:p>
    <w:p w:rsidR="00D540D0" w:rsidRDefault="00D540D0">
      <w:pPr>
        <w:rPr>
          <w:sz w:val="22"/>
        </w:rPr>
      </w:pPr>
    </w:p>
    <w:p w:rsidR="00D540D0" w:rsidRDefault="00160246">
      <w:pPr>
        <w:rPr>
          <w:b/>
          <w:sz w:val="22"/>
        </w:rPr>
      </w:pPr>
      <w:bookmarkStart w:id="24" w:name="§10"/>
      <w:bookmarkEnd w:id="24"/>
      <w:r>
        <w:rPr>
          <w:b/>
          <w:sz w:val="22"/>
        </w:rPr>
        <w:t>§ 10.</w:t>
      </w:r>
      <w:r>
        <w:rPr>
          <w:sz w:val="22"/>
        </w:rPr>
        <w:t xml:space="preserve"> </w:t>
      </w:r>
      <w:r>
        <w:rPr>
          <w:b/>
          <w:i/>
          <w:sz w:val="22"/>
        </w:rPr>
        <w:t>Krav til fartøy som ønsker å delta i fisket med not eller line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 xml:space="preserve">Fartøy som vil delta i fisket etter makrellstørje med not eller line må dokumentere </w:t>
      </w:r>
      <w:r>
        <w:rPr>
          <w:sz w:val="22"/>
        </w:rPr>
        <w:t>at de:</w:t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"/>
        <w:gridCol w:w="9583"/>
      </w:tblGrid>
      <w:tr w:rsidR="00D540D0">
        <w:tc>
          <w:tcPr>
            <w:tcW w:w="360" w:type="dxa"/>
            <w:noWrap/>
            <w:tcMar>
              <w:right w:w="80" w:type="dxa"/>
            </w:tcMar>
          </w:tcPr>
          <w:p w:rsidR="00D540D0" w:rsidRDefault="00160246">
            <w:pPr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506" w:type="dxa"/>
            <w:noWrap/>
            <w:tcMar>
              <w:right w:w="80" w:type="dxa"/>
            </w:tcMar>
          </w:tcPr>
          <w:p w:rsidR="00D540D0" w:rsidRDefault="00160246">
            <w:pPr>
              <w:rPr>
                <w:sz w:val="22"/>
              </w:rPr>
            </w:pPr>
            <w:r>
              <w:rPr>
                <w:sz w:val="22"/>
              </w:rPr>
              <w:t>er egnet, bemannet og utrustet til fiske etter makrellstørje</w:t>
            </w:r>
          </w:p>
        </w:tc>
      </w:tr>
    </w:tbl>
    <w:p w:rsidR="00D540D0" w:rsidRDefault="00D540D0">
      <w:pPr>
        <w:rPr>
          <w:sz w:val="6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"/>
        <w:gridCol w:w="9583"/>
      </w:tblGrid>
      <w:tr w:rsidR="00D540D0">
        <w:tc>
          <w:tcPr>
            <w:tcW w:w="360" w:type="dxa"/>
            <w:noWrap/>
            <w:tcMar>
              <w:right w:w="80" w:type="dxa"/>
            </w:tcMar>
          </w:tcPr>
          <w:p w:rsidR="00D540D0" w:rsidRDefault="00160246">
            <w:pPr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506" w:type="dxa"/>
            <w:noWrap/>
            <w:tcMar>
              <w:right w:w="80" w:type="dxa"/>
            </w:tcMar>
          </w:tcPr>
          <w:p w:rsidR="00D540D0" w:rsidRDefault="00160246">
            <w:pPr>
              <w:rPr>
                <w:sz w:val="22"/>
              </w:rPr>
            </w:pPr>
            <w:r>
              <w:rPr>
                <w:sz w:val="22"/>
              </w:rPr>
              <w:t>har en plan for håndtering og lagring av fangst om bord, samt landing og omsetning av fangsten, som sikrer at kvaliteten ivaretas.</w:t>
            </w:r>
          </w:p>
        </w:tc>
      </w:tr>
    </w:tbl>
    <w:p w:rsidR="00D540D0" w:rsidRDefault="00D540D0">
      <w:pPr>
        <w:rPr>
          <w:sz w:val="6"/>
        </w:rPr>
      </w:pP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 xml:space="preserve">Det kan stilles vilkår om at fartøy som deltar i </w:t>
      </w:r>
      <w:r>
        <w:rPr>
          <w:sz w:val="22"/>
        </w:rPr>
        <w:t>fisket skal ha observatør fra Havforskningsinstituttet om bord eller samle biologiske data etter nærmere angitte retningslinjer. Fartøyet kan søke om dispensasjon fra dette kravet. I forbindelse med vurderingen av dispensasjonssøknaden skal det innhentes u</w:t>
      </w:r>
      <w:r>
        <w:rPr>
          <w:sz w:val="22"/>
        </w:rPr>
        <w:t>ttalelse fra Havforskningsinstituttet.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 xml:space="preserve">Fartøy som fisker med not må dokumentere at de har egen lugar til observatører som nevnt i </w:t>
      </w:r>
      <w:hyperlink r:id="rId36" w:anchor="reference/forskrift/2020-03-09-246/§12" w:history="1">
        <w:r>
          <w:rPr>
            <w:sz w:val="22"/>
          </w:rPr>
          <w:t>§ 12</w:t>
        </w:r>
      </w:hyperlink>
      <w:r>
        <w:rPr>
          <w:sz w:val="22"/>
        </w:rPr>
        <w:t>. Fartøy som fisker med line må dokumen</w:t>
      </w:r>
      <w:r>
        <w:rPr>
          <w:sz w:val="22"/>
        </w:rPr>
        <w:t xml:space="preserve">tere at de enten har egen lugar om bord til observatører som nevnt i </w:t>
      </w:r>
      <w:hyperlink r:id="rId37" w:anchor="reference/forskrift/2020-03-09-246/§12" w:history="1">
        <w:r>
          <w:rPr>
            <w:sz w:val="22"/>
          </w:rPr>
          <w:t>§ 12</w:t>
        </w:r>
      </w:hyperlink>
      <w:r>
        <w:rPr>
          <w:sz w:val="22"/>
        </w:rPr>
        <w:t>, eller, dersom fartøyet kun går på dagsturer, tilfredsstillende losji som for eksempel hotell, i av</w:t>
      </w:r>
      <w:r>
        <w:rPr>
          <w:sz w:val="22"/>
        </w:rPr>
        <w:t>gangshavn.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>Det er et vilkår for deltakelse i fisket med not at maskevidden (helmaske) i noten ikke skal være mindre enn 100 mm.</w:t>
      </w:r>
      <w:bookmarkStart w:id="25" w:name="PARAGRAF_11"/>
      <w:bookmarkEnd w:id="23"/>
    </w:p>
    <w:p w:rsidR="00D540D0" w:rsidRDefault="00D540D0">
      <w:pPr>
        <w:rPr>
          <w:sz w:val="22"/>
        </w:rPr>
      </w:pPr>
    </w:p>
    <w:p w:rsidR="00D540D0" w:rsidRDefault="00160246">
      <w:pPr>
        <w:rPr>
          <w:b/>
          <w:sz w:val="22"/>
        </w:rPr>
      </w:pPr>
      <w:bookmarkStart w:id="26" w:name="§11"/>
      <w:bookmarkEnd w:id="26"/>
      <w:r>
        <w:rPr>
          <w:b/>
          <w:sz w:val="22"/>
        </w:rPr>
        <w:t>§ 11.</w:t>
      </w:r>
      <w:r>
        <w:rPr>
          <w:sz w:val="22"/>
        </w:rPr>
        <w:t xml:space="preserve"> </w:t>
      </w:r>
      <w:r>
        <w:rPr>
          <w:b/>
          <w:i/>
          <w:sz w:val="22"/>
        </w:rPr>
        <w:t>Krav til merk- og slipp- og rekreasjonsfiskere som ønsker å delta i fisket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>Merk- og slipp- og rekreasjonsfiskelag som vil</w:t>
      </w:r>
      <w:r>
        <w:rPr>
          <w:sz w:val="22"/>
        </w:rPr>
        <w:t xml:space="preserve"> delta i fisket etter makrellstørje må dokumentere at:</w:t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"/>
        <w:gridCol w:w="9583"/>
      </w:tblGrid>
      <w:tr w:rsidR="00D540D0">
        <w:tc>
          <w:tcPr>
            <w:tcW w:w="360" w:type="dxa"/>
            <w:noWrap/>
            <w:tcMar>
              <w:right w:w="80" w:type="dxa"/>
            </w:tcMar>
          </w:tcPr>
          <w:p w:rsidR="00D540D0" w:rsidRDefault="00160246">
            <w:pPr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506" w:type="dxa"/>
            <w:noWrap/>
            <w:tcMar>
              <w:right w:w="80" w:type="dxa"/>
            </w:tcMar>
          </w:tcPr>
          <w:p w:rsidR="00D540D0" w:rsidRDefault="00160246">
            <w:pPr>
              <w:rPr>
                <w:sz w:val="22"/>
              </w:rPr>
            </w:pPr>
            <w:r>
              <w:rPr>
                <w:sz w:val="22"/>
              </w:rPr>
              <w:t>laget er egnet, bemannet og utrustet til rekreasjonsfiske etter makrellstørje</w:t>
            </w:r>
          </w:p>
        </w:tc>
      </w:tr>
    </w:tbl>
    <w:p w:rsidR="00D540D0" w:rsidRDefault="00D540D0">
      <w:pPr>
        <w:rPr>
          <w:sz w:val="6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"/>
        <w:gridCol w:w="9583"/>
      </w:tblGrid>
      <w:tr w:rsidR="00D540D0">
        <w:tc>
          <w:tcPr>
            <w:tcW w:w="360" w:type="dxa"/>
            <w:noWrap/>
            <w:tcMar>
              <w:right w:w="80" w:type="dxa"/>
            </w:tcMar>
          </w:tcPr>
          <w:p w:rsidR="00D540D0" w:rsidRDefault="00160246">
            <w:pPr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506" w:type="dxa"/>
            <w:noWrap/>
            <w:tcMar>
              <w:right w:w="80" w:type="dxa"/>
            </w:tcMar>
          </w:tcPr>
          <w:p w:rsidR="00D540D0" w:rsidRDefault="00160246">
            <w:pPr>
              <w:rPr>
                <w:sz w:val="22"/>
              </w:rPr>
            </w:pPr>
            <w:r>
              <w:rPr>
                <w:sz w:val="22"/>
              </w:rPr>
              <w:t>alle deltakerne i fiskelaget er bosatt i Norge</w:t>
            </w:r>
          </w:p>
        </w:tc>
      </w:tr>
    </w:tbl>
    <w:p w:rsidR="00D540D0" w:rsidRDefault="00D540D0">
      <w:pPr>
        <w:rPr>
          <w:sz w:val="6"/>
        </w:rPr>
      </w:pP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 xml:space="preserve">Det er et vilkår for deltakelse i rekreasjonsfiske at fartøyet </w:t>
      </w:r>
      <w:r>
        <w:rPr>
          <w:sz w:val="22"/>
        </w:rPr>
        <w:t>deltar i merk- og slippfisket etter makrellstørje. Rekreasjonsfisket vil bli stoppet for den enkelte båt når båten har fisket og landet en makrellstørje til matauk.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>Merk- og slippfiskelag som får adgang til å delta i fisket etter makrellstørje må, før fisk</w:t>
      </w:r>
      <w:r>
        <w:rPr>
          <w:sz w:val="22"/>
        </w:rPr>
        <w:t>et tar til, dokumentere at laget har fått tillatelse til å merke makrellstørje med spaghettimerke. Dersom det ikke er noen merk- og slippfiskelag med adgang til å delta i fisket som får tillatelse til å merke makrellstørje med spaghettimerke, kan Fiskeridi</w:t>
      </w:r>
      <w:r>
        <w:rPr>
          <w:sz w:val="22"/>
        </w:rPr>
        <w:t>rektoratet gi lagene tillatelse til å gjennomføre et rekreasjonsfiske etter makrellstørje i 2020.</w:t>
      </w:r>
      <w:bookmarkStart w:id="27" w:name="PARAGRAF_12"/>
      <w:bookmarkEnd w:id="25"/>
    </w:p>
    <w:p w:rsidR="00D540D0" w:rsidRDefault="00D540D0">
      <w:pPr>
        <w:rPr>
          <w:sz w:val="22"/>
        </w:rPr>
      </w:pPr>
    </w:p>
    <w:p w:rsidR="00D540D0" w:rsidRDefault="00160246">
      <w:pPr>
        <w:rPr>
          <w:b/>
          <w:sz w:val="22"/>
        </w:rPr>
      </w:pPr>
      <w:bookmarkStart w:id="28" w:name="§12"/>
      <w:bookmarkEnd w:id="28"/>
      <w:r>
        <w:rPr>
          <w:b/>
          <w:sz w:val="22"/>
        </w:rPr>
        <w:t>§ 12.</w:t>
      </w:r>
      <w:r>
        <w:rPr>
          <w:sz w:val="22"/>
        </w:rPr>
        <w:t xml:space="preserve"> </w:t>
      </w:r>
      <w:r>
        <w:rPr>
          <w:b/>
          <w:i/>
          <w:sz w:val="22"/>
        </w:rPr>
        <w:t>Observatører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>Deltakende fartøy som fisker med not skal ha 100 % dekning av observatører fra det regionale observatørprogrammet (RoP) til Den internasjo</w:t>
      </w:r>
      <w:r>
        <w:rPr>
          <w:sz w:val="22"/>
        </w:rPr>
        <w:t>nale kommisjonen for bevaring av atlantisk tunfisk (ICCAT).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>Deltakende fartøy over 15 meter som fisker med line skal ha 20 % dekning av nasjonale observatører.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lastRenderedPageBreak/>
        <w:t>Fartøyene kan pålegges å gå til land for å hente observatør.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 xml:space="preserve">Fartøyene plikter å dekke alle </w:t>
      </w:r>
      <w:r>
        <w:rPr>
          <w:sz w:val="22"/>
        </w:rPr>
        <w:t>kostnader ved å ha observatører om bord, herunder kostnadene som kreves inn av ICCAT og nasjonale observatører og andre kostnader som oppstår.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>Fiskeridirektoratet kan ved manglende betaling nekte fartøyet videre deltakelse i fisket.</w:t>
      </w:r>
      <w:bookmarkStart w:id="29" w:name="PARAGRAF_13"/>
      <w:bookmarkEnd w:id="27"/>
    </w:p>
    <w:p w:rsidR="00D540D0" w:rsidRDefault="00D540D0">
      <w:pPr>
        <w:rPr>
          <w:sz w:val="22"/>
        </w:rPr>
      </w:pPr>
    </w:p>
    <w:p w:rsidR="00D540D0" w:rsidRDefault="00160246">
      <w:pPr>
        <w:rPr>
          <w:b/>
          <w:sz w:val="22"/>
        </w:rPr>
      </w:pPr>
      <w:bookmarkStart w:id="30" w:name="§13"/>
      <w:bookmarkEnd w:id="30"/>
      <w:r>
        <w:rPr>
          <w:b/>
          <w:sz w:val="22"/>
        </w:rPr>
        <w:t>§ 13.</w:t>
      </w:r>
      <w:r>
        <w:rPr>
          <w:sz w:val="22"/>
        </w:rPr>
        <w:t xml:space="preserve"> </w:t>
      </w:r>
      <w:r>
        <w:rPr>
          <w:b/>
          <w:i/>
          <w:sz w:val="22"/>
        </w:rPr>
        <w:t xml:space="preserve">Rapportering og </w:t>
      </w:r>
      <w:r>
        <w:rPr>
          <w:b/>
          <w:i/>
          <w:sz w:val="22"/>
        </w:rPr>
        <w:t>havneanløp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 xml:space="preserve">Fartøyene skal sende posisjonsrapportering og rapportere elektronisk fangst- og aktivitetsdata i samsvar med </w:t>
      </w:r>
      <w:hyperlink r:id="rId38" w:anchor="reference/forskrift/2009-12-21-1743" w:history="1">
        <w:r>
          <w:rPr>
            <w:sz w:val="22"/>
          </w:rPr>
          <w:t>forskrift 21. desember 2009 nr. 1743</w:t>
        </w:r>
      </w:hyperlink>
      <w:r>
        <w:rPr>
          <w:sz w:val="22"/>
        </w:rPr>
        <w:t xml:space="preserve"> om posisjonsrapport</w:t>
      </w:r>
      <w:r>
        <w:rPr>
          <w:sz w:val="22"/>
        </w:rPr>
        <w:t>ering og elektronisk rapportering for norske fiske- og fangstfartøy (ERS-forskriften). Ved fangst av makrellstørje skal norsk FMC kontaktes på telefon 55 23 83 36 så snart som mulig. Melding om havneanløp skal sendes senest fire timer før estimert anløp ve</w:t>
      </w:r>
      <w:r>
        <w:rPr>
          <w:sz w:val="22"/>
        </w:rPr>
        <w:t>d havn.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>Fangst av makrellstørje kan kun landes i havner utpekt særskilt til dette formålet i ICCAT. Dersom fartøyet skal lande i utenlandsk havn, må fartøyet sende forhåndsmelding om havneanløp i samsvar med gjeldende krav fastsatt av ICCAT.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>Ved landing av</w:t>
      </w:r>
      <w:r>
        <w:rPr>
          <w:sz w:val="22"/>
        </w:rPr>
        <w:t xml:space="preserve"> makrellstørje skal det på landings- og sluttseddelen i tillegg til vekt oppgis antall individ.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>Fiskeridirektoratet kan i særlige tilfeller gjøre unntak fra første ledd tredje punktum og annet ledd.</w:t>
      </w:r>
    </w:p>
    <w:p w:rsidR="00D540D0" w:rsidRDefault="00D540D0">
      <w:pPr>
        <w:spacing w:before="120"/>
        <w:rPr>
          <w:sz w:val="6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"/>
        <w:gridCol w:w="9866"/>
      </w:tblGrid>
      <w:tr w:rsidR="00D540D0">
        <w:tc>
          <w:tcPr>
            <w:tcW w:w="0" w:type="dxa"/>
            <w:noWrap/>
            <w:tcMar>
              <w:right w:w="80" w:type="dxa"/>
            </w:tcMar>
          </w:tcPr>
          <w:p w:rsidR="00D540D0" w:rsidRDefault="00160246">
            <w:pPr>
              <w:pStyle w:val="Fotnotetekst"/>
              <w:spacing w:before="2" w:after="2"/>
              <w:jc w:val="right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9866" w:type="dxa"/>
            <w:noWrap/>
            <w:tcMar>
              <w:right w:w="80" w:type="dxa"/>
            </w:tcMar>
          </w:tcPr>
          <w:p w:rsidR="00D540D0" w:rsidRDefault="00160246">
            <w:pPr>
              <w:pStyle w:val="Fotnotetekst"/>
              <w:spacing w:before="2" w:after="2"/>
              <w:rPr>
                <w:sz w:val="18"/>
              </w:rPr>
            </w:pPr>
            <w:r>
              <w:rPr>
                <w:sz w:val="18"/>
              </w:rPr>
              <w:t xml:space="preserve">Endret ved </w:t>
            </w:r>
            <w:hyperlink r:id="rId39" w:anchor="reference/forskrift/2020-03-25-689" w:history="1">
              <w:r>
                <w:rPr>
                  <w:sz w:val="18"/>
                </w:rPr>
                <w:t>forskrift 25 mars 2020 nr. 689</w:t>
              </w:r>
            </w:hyperlink>
            <w:r>
              <w:rPr>
                <w:sz w:val="18"/>
              </w:rPr>
              <w:t>.</w:t>
            </w:r>
          </w:p>
        </w:tc>
      </w:tr>
    </w:tbl>
    <w:p w:rsidR="00D540D0" w:rsidRDefault="00D540D0">
      <w:pPr>
        <w:rPr>
          <w:sz w:val="22"/>
        </w:rPr>
      </w:pPr>
      <w:bookmarkStart w:id="31" w:name="PARAGRAF_14"/>
      <w:bookmarkEnd w:id="29"/>
    </w:p>
    <w:p w:rsidR="00D540D0" w:rsidRDefault="00D540D0">
      <w:pPr>
        <w:rPr>
          <w:sz w:val="22"/>
        </w:rPr>
      </w:pPr>
    </w:p>
    <w:p w:rsidR="00D540D0" w:rsidRDefault="00160246">
      <w:pPr>
        <w:rPr>
          <w:b/>
          <w:sz w:val="22"/>
        </w:rPr>
      </w:pPr>
      <w:bookmarkStart w:id="32" w:name="§14"/>
      <w:bookmarkEnd w:id="32"/>
      <w:r>
        <w:rPr>
          <w:b/>
          <w:sz w:val="22"/>
        </w:rPr>
        <w:t>§ 14.</w:t>
      </w:r>
      <w:r>
        <w:rPr>
          <w:sz w:val="22"/>
        </w:rPr>
        <w:t xml:space="preserve"> </w:t>
      </w:r>
      <w:r>
        <w:rPr>
          <w:b/>
          <w:i/>
          <w:sz w:val="22"/>
        </w:rPr>
        <w:t>Forbud mot omlasting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>Det er forbudt å omlaste makrellstørje.</w:t>
      </w:r>
      <w:bookmarkStart w:id="33" w:name="PARAGRAF_15"/>
      <w:bookmarkEnd w:id="31"/>
    </w:p>
    <w:p w:rsidR="00D540D0" w:rsidRDefault="00D540D0">
      <w:pPr>
        <w:rPr>
          <w:sz w:val="22"/>
        </w:rPr>
      </w:pPr>
    </w:p>
    <w:p w:rsidR="00D540D0" w:rsidRDefault="00160246">
      <w:pPr>
        <w:rPr>
          <w:b/>
          <w:sz w:val="22"/>
        </w:rPr>
      </w:pPr>
      <w:bookmarkStart w:id="34" w:name="§15"/>
      <w:bookmarkEnd w:id="34"/>
      <w:r>
        <w:rPr>
          <w:b/>
          <w:sz w:val="22"/>
        </w:rPr>
        <w:t>§ 15.</w:t>
      </w:r>
      <w:r>
        <w:rPr>
          <w:sz w:val="22"/>
        </w:rPr>
        <w:t xml:space="preserve"> </w:t>
      </w:r>
      <w:r>
        <w:rPr>
          <w:b/>
          <w:i/>
          <w:sz w:val="22"/>
        </w:rPr>
        <w:t>Forbud mot bruk av fly og helikopter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>Det er forbudt å benytte fly, hel</w:t>
      </w:r>
      <w:r>
        <w:rPr>
          <w:sz w:val="22"/>
        </w:rPr>
        <w:t>ikopter eller ubemannede luftfartøy i forbindelse med fiske etter makrellstørje.</w:t>
      </w:r>
      <w:bookmarkStart w:id="35" w:name="PARAGRAF_16"/>
      <w:bookmarkEnd w:id="33"/>
    </w:p>
    <w:p w:rsidR="00D540D0" w:rsidRDefault="00D540D0">
      <w:pPr>
        <w:rPr>
          <w:sz w:val="22"/>
        </w:rPr>
      </w:pPr>
    </w:p>
    <w:p w:rsidR="00D540D0" w:rsidRDefault="00160246">
      <w:pPr>
        <w:rPr>
          <w:b/>
          <w:sz w:val="22"/>
        </w:rPr>
      </w:pPr>
      <w:bookmarkStart w:id="36" w:name="§16"/>
      <w:bookmarkEnd w:id="36"/>
      <w:r>
        <w:rPr>
          <w:b/>
          <w:sz w:val="22"/>
        </w:rPr>
        <w:t>§ 16.</w:t>
      </w:r>
      <w:r>
        <w:rPr>
          <w:sz w:val="22"/>
        </w:rPr>
        <w:t xml:space="preserve"> </w:t>
      </w:r>
      <w:r>
        <w:rPr>
          <w:b/>
          <w:i/>
          <w:sz w:val="22"/>
        </w:rPr>
        <w:t>Overføring av fangst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>Det kvantum som kan fiskes av fartøy med adgang til å delta i fisket kan ikke overføres til annet fartøy. Det er også forbudt å motta og å lande fa</w:t>
      </w:r>
      <w:r>
        <w:rPr>
          <w:sz w:val="22"/>
        </w:rPr>
        <w:t>ngst som er fisket av et annet fartøy.</w:t>
      </w:r>
      <w:bookmarkStart w:id="37" w:name="PARAGRAF_17"/>
      <w:bookmarkEnd w:id="35"/>
    </w:p>
    <w:p w:rsidR="00D540D0" w:rsidRDefault="00D540D0">
      <w:pPr>
        <w:rPr>
          <w:sz w:val="22"/>
        </w:rPr>
      </w:pPr>
    </w:p>
    <w:p w:rsidR="00D540D0" w:rsidRDefault="00160246">
      <w:pPr>
        <w:rPr>
          <w:b/>
          <w:sz w:val="22"/>
        </w:rPr>
      </w:pPr>
      <w:bookmarkStart w:id="38" w:name="§17"/>
      <w:bookmarkEnd w:id="38"/>
      <w:r>
        <w:rPr>
          <w:b/>
          <w:sz w:val="22"/>
        </w:rPr>
        <w:t>§ 17.</w:t>
      </w:r>
      <w:r>
        <w:rPr>
          <w:sz w:val="22"/>
        </w:rPr>
        <w:t xml:space="preserve"> </w:t>
      </w:r>
      <w:r>
        <w:rPr>
          <w:b/>
          <w:i/>
          <w:sz w:val="22"/>
        </w:rPr>
        <w:t>Avkortning av kvote ved dumping eller neddrepning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 xml:space="preserve">Er fangst forsettlig eller uaktsomt dumpet eller på annen måte drept ned, kan Fiskeridirektoratets regionkontor fatte vedtak om en forholdsmessig avkortning av </w:t>
      </w:r>
      <w:r>
        <w:rPr>
          <w:sz w:val="22"/>
        </w:rPr>
        <w:t>kvoten. Fiskeridirektoratet er klageinstans.</w:t>
      </w:r>
      <w:bookmarkStart w:id="39" w:name="PARAGRAF_18"/>
      <w:bookmarkEnd w:id="37"/>
    </w:p>
    <w:p w:rsidR="00D540D0" w:rsidRDefault="00D540D0">
      <w:pPr>
        <w:rPr>
          <w:sz w:val="22"/>
        </w:rPr>
      </w:pPr>
    </w:p>
    <w:p w:rsidR="00D540D0" w:rsidRDefault="00160246">
      <w:pPr>
        <w:rPr>
          <w:b/>
          <w:sz w:val="22"/>
        </w:rPr>
      </w:pPr>
      <w:bookmarkStart w:id="40" w:name="§18"/>
      <w:bookmarkEnd w:id="40"/>
      <w:r>
        <w:rPr>
          <w:b/>
          <w:sz w:val="22"/>
        </w:rPr>
        <w:t>§ 18.</w:t>
      </w:r>
      <w:r>
        <w:rPr>
          <w:sz w:val="22"/>
        </w:rPr>
        <w:t xml:space="preserve"> </w:t>
      </w:r>
      <w:r>
        <w:rPr>
          <w:b/>
          <w:i/>
          <w:sz w:val="22"/>
        </w:rPr>
        <w:t>Meldeplikt ved sprenging av not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 xml:space="preserve">Fartøy skal melde fra om notsprenging i tråd med ERS-forskriften </w:t>
      </w:r>
      <w:hyperlink r:id="rId40" w:anchor="reference/forskrift/2020-03-09-246/§12" w:history="1">
        <w:r>
          <w:rPr>
            <w:sz w:val="22"/>
          </w:rPr>
          <w:t>§ 12</w:t>
        </w:r>
      </w:hyperlink>
      <w:r>
        <w:rPr>
          <w:sz w:val="22"/>
        </w:rPr>
        <w:t>.</w:t>
      </w:r>
      <w:bookmarkStart w:id="41" w:name="PARAGRAF_19"/>
      <w:bookmarkEnd w:id="39"/>
    </w:p>
    <w:p w:rsidR="00D540D0" w:rsidRDefault="00D540D0">
      <w:pPr>
        <w:rPr>
          <w:sz w:val="22"/>
        </w:rPr>
      </w:pPr>
    </w:p>
    <w:p w:rsidR="00D540D0" w:rsidRDefault="00160246">
      <w:pPr>
        <w:rPr>
          <w:b/>
          <w:sz w:val="22"/>
        </w:rPr>
      </w:pPr>
      <w:bookmarkStart w:id="42" w:name="§19"/>
      <w:bookmarkEnd w:id="42"/>
      <w:r>
        <w:rPr>
          <w:b/>
          <w:sz w:val="22"/>
        </w:rPr>
        <w:t>§ 19.</w:t>
      </w:r>
      <w:r>
        <w:rPr>
          <w:sz w:val="22"/>
        </w:rPr>
        <w:t xml:space="preserve"> </w:t>
      </w:r>
      <w:r>
        <w:rPr>
          <w:b/>
          <w:i/>
          <w:sz w:val="22"/>
        </w:rPr>
        <w:t>ICCAT-regelverk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>Deltakende fartøy skal følge regler fastsatt i eller i medhold av Den internasjonale konvensjonen av 14. mai 1966 nr. 21 om bevaring av atlantisk tunfisk.</w:t>
      </w:r>
      <w:bookmarkStart w:id="43" w:name="PARAGRAF_20"/>
      <w:bookmarkEnd w:id="41"/>
    </w:p>
    <w:p w:rsidR="00D540D0" w:rsidRDefault="00D540D0">
      <w:pPr>
        <w:rPr>
          <w:sz w:val="22"/>
        </w:rPr>
      </w:pPr>
    </w:p>
    <w:p w:rsidR="00D540D0" w:rsidRDefault="00160246">
      <w:pPr>
        <w:rPr>
          <w:b/>
          <w:sz w:val="22"/>
        </w:rPr>
      </w:pPr>
      <w:bookmarkStart w:id="44" w:name="§20"/>
      <w:bookmarkEnd w:id="44"/>
      <w:r>
        <w:rPr>
          <w:b/>
          <w:sz w:val="22"/>
        </w:rPr>
        <w:t>§ 20.</w:t>
      </w:r>
      <w:r>
        <w:rPr>
          <w:sz w:val="22"/>
        </w:rPr>
        <w:t xml:space="preserve"> </w:t>
      </w:r>
      <w:r>
        <w:rPr>
          <w:b/>
          <w:i/>
          <w:sz w:val="22"/>
        </w:rPr>
        <w:t>Bemyndigelse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>Fiskeridirektoratet kan stoppe fisket når totalkvoten er beregnet</w:t>
      </w:r>
      <w:r>
        <w:rPr>
          <w:sz w:val="22"/>
        </w:rPr>
        <w:t xml:space="preserve"> oppfisket.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>Fiskeridirektoratet kan pålegge fartøy som får bifangst av makrellstørje i fisket etter andre arter å ta prøver av fangsten og sende disse prøvene til Havforskningsinstituttet.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>Fiskeridirektoratet kan endre forskriften og fastsette nærmere best</w:t>
      </w:r>
      <w:r>
        <w:rPr>
          <w:sz w:val="22"/>
        </w:rPr>
        <w:t>emmelser som er nødvendig for å oppnå en rasjonell og hensiktsmessig utøvelse eller gjennomføring av fisket.</w:t>
      </w:r>
      <w:bookmarkStart w:id="45" w:name="PARAGRAF_21"/>
      <w:bookmarkEnd w:id="43"/>
    </w:p>
    <w:p w:rsidR="00D540D0" w:rsidRDefault="00D540D0">
      <w:pPr>
        <w:rPr>
          <w:sz w:val="22"/>
        </w:rPr>
      </w:pPr>
    </w:p>
    <w:p w:rsidR="00D540D0" w:rsidRDefault="00160246">
      <w:pPr>
        <w:rPr>
          <w:b/>
          <w:sz w:val="22"/>
        </w:rPr>
      </w:pPr>
      <w:bookmarkStart w:id="46" w:name="§21"/>
      <w:bookmarkEnd w:id="46"/>
      <w:r>
        <w:rPr>
          <w:b/>
          <w:sz w:val="22"/>
        </w:rPr>
        <w:t>§ 21.</w:t>
      </w:r>
      <w:r>
        <w:rPr>
          <w:sz w:val="22"/>
        </w:rPr>
        <w:t xml:space="preserve"> </w:t>
      </w:r>
      <w:r>
        <w:rPr>
          <w:b/>
          <w:i/>
          <w:sz w:val="22"/>
        </w:rPr>
        <w:t>Overtredelsesgebyr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lastRenderedPageBreak/>
        <w:t>Foretak og den som forsettlig eller uaktsomt overtrer bestemmelser gitt i eller i medhold av forskriften, kan ilegges ove</w:t>
      </w:r>
      <w:r>
        <w:rPr>
          <w:sz w:val="22"/>
        </w:rPr>
        <w:t xml:space="preserve">rtredelsesgebyr i henhold til </w:t>
      </w:r>
      <w:hyperlink r:id="rId41" w:anchor="reference/lov/2008-06-06-37/§59" w:history="1">
        <w:r>
          <w:rPr>
            <w:sz w:val="22"/>
          </w:rPr>
          <w:t>havressurslova § 59</w:t>
        </w:r>
      </w:hyperlink>
      <w:r>
        <w:rPr>
          <w:sz w:val="22"/>
        </w:rPr>
        <w:t xml:space="preserve"> og </w:t>
      </w:r>
      <w:hyperlink r:id="rId42" w:anchor="reference/forskrift/2011-12-20-1437" w:history="1">
        <w:r>
          <w:rPr>
            <w:sz w:val="22"/>
          </w:rPr>
          <w:t>forskrift 20. desember 2011 nr. 1437</w:t>
        </w:r>
      </w:hyperlink>
      <w:r>
        <w:rPr>
          <w:sz w:val="22"/>
        </w:rPr>
        <w:t xml:space="preserve"> om bruk av</w:t>
      </w:r>
      <w:r>
        <w:rPr>
          <w:sz w:val="22"/>
        </w:rPr>
        <w:t xml:space="preserve"> tvangsmulkt og overtredelsesgebyr ved brudd på havressurslova og deltakerloven.</w:t>
      </w:r>
      <w:bookmarkStart w:id="47" w:name="PARAGRAF_22"/>
      <w:bookmarkEnd w:id="45"/>
    </w:p>
    <w:p w:rsidR="00D540D0" w:rsidRDefault="00D540D0">
      <w:pPr>
        <w:rPr>
          <w:sz w:val="22"/>
        </w:rPr>
      </w:pPr>
    </w:p>
    <w:p w:rsidR="00D540D0" w:rsidRDefault="00160246">
      <w:pPr>
        <w:rPr>
          <w:b/>
          <w:sz w:val="22"/>
        </w:rPr>
      </w:pPr>
      <w:bookmarkStart w:id="48" w:name="§22"/>
      <w:bookmarkEnd w:id="48"/>
      <w:r>
        <w:rPr>
          <w:b/>
          <w:sz w:val="22"/>
        </w:rPr>
        <w:t>§ 22.</w:t>
      </w:r>
      <w:r>
        <w:rPr>
          <w:sz w:val="22"/>
        </w:rPr>
        <w:t xml:space="preserve"> </w:t>
      </w:r>
      <w:r>
        <w:rPr>
          <w:b/>
          <w:i/>
          <w:sz w:val="22"/>
        </w:rPr>
        <w:t>Straff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 xml:space="preserve">Den som forsettlig eller uaktsomt overtrer bestemmelser gitt i eller i medhold av forskriften straffes i henhold til </w:t>
      </w:r>
      <w:hyperlink r:id="rId43" w:anchor="reference/lov/1999-03-26-15/§31" w:history="1">
        <w:r>
          <w:rPr>
            <w:sz w:val="22"/>
          </w:rPr>
          <w:t>deltakerloven § 31</w:t>
        </w:r>
      </w:hyperlink>
      <w:r>
        <w:rPr>
          <w:sz w:val="22"/>
        </w:rPr>
        <w:t xml:space="preserve"> og </w:t>
      </w:r>
      <w:hyperlink r:id="rId44" w:anchor="reference/lov/2008-06-06-37/§60" w:history="1">
        <w:r>
          <w:rPr>
            <w:sz w:val="22"/>
          </w:rPr>
          <w:t>havressurslova § 60</w:t>
        </w:r>
      </w:hyperlink>
      <w:r>
        <w:rPr>
          <w:sz w:val="22"/>
        </w:rPr>
        <w:t xml:space="preserve">, </w:t>
      </w:r>
      <w:hyperlink r:id="rId45" w:anchor="reference/lov/2008-06-06-37/§61" w:history="1">
        <w:r>
          <w:rPr>
            <w:sz w:val="22"/>
          </w:rPr>
          <w:t>§ 61</w:t>
        </w:r>
      </w:hyperlink>
      <w:r>
        <w:rPr>
          <w:sz w:val="22"/>
        </w:rPr>
        <w:t xml:space="preserve">, </w:t>
      </w:r>
      <w:hyperlink r:id="rId46" w:anchor="reference/lov/2008-06-06-37/§62" w:history="1">
        <w:r>
          <w:rPr>
            <w:sz w:val="22"/>
          </w:rPr>
          <w:t>§ 62</w:t>
        </w:r>
      </w:hyperlink>
      <w:r>
        <w:rPr>
          <w:sz w:val="22"/>
        </w:rPr>
        <w:t xml:space="preserve">, </w:t>
      </w:r>
      <w:hyperlink r:id="rId47" w:anchor="reference/lov/2008-06-06-37/§64" w:history="1">
        <w:r>
          <w:rPr>
            <w:sz w:val="22"/>
          </w:rPr>
          <w:t>§ 64</w:t>
        </w:r>
      </w:hyperlink>
      <w:r>
        <w:rPr>
          <w:sz w:val="22"/>
        </w:rPr>
        <w:t xml:space="preserve"> og </w:t>
      </w:r>
      <w:hyperlink r:id="rId48" w:anchor="reference/lov/2008-06-06-37/§65" w:history="1">
        <w:r>
          <w:rPr>
            <w:sz w:val="22"/>
          </w:rPr>
          <w:t>§ 65</w:t>
        </w:r>
      </w:hyperlink>
      <w:r>
        <w:rPr>
          <w:sz w:val="22"/>
        </w:rPr>
        <w:t>. På samme måte straffes medvirkn</w:t>
      </w:r>
      <w:r>
        <w:rPr>
          <w:sz w:val="22"/>
        </w:rPr>
        <w:t>ing og forsøk.</w:t>
      </w:r>
      <w:bookmarkStart w:id="49" w:name="PARAGRAF_23"/>
      <w:bookmarkEnd w:id="47"/>
    </w:p>
    <w:p w:rsidR="00D540D0" w:rsidRDefault="00D540D0">
      <w:pPr>
        <w:rPr>
          <w:sz w:val="22"/>
        </w:rPr>
      </w:pPr>
    </w:p>
    <w:p w:rsidR="00D540D0" w:rsidRDefault="00160246">
      <w:pPr>
        <w:rPr>
          <w:b/>
          <w:sz w:val="22"/>
        </w:rPr>
      </w:pPr>
      <w:bookmarkStart w:id="50" w:name="§23"/>
      <w:bookmarkEnd w:id="50"/>
      <w:r>
        <w:rPr>
          <w:b/>
          <w:sz w:val="22"/>
        </w:rPr>
        <w:t>§ 23.</w:t>
      </w:r>
      <w:r>
        <w:rPr>
          <w:sz w:val="22"/>
        </w:rPr>
        <w:t xml:space="preserve"> </w:t>
      </w:r>
      <w:r>
        <w:rPr>
          <w:b/>
          <w:i/>
          <w:sz w:val="22"/>
        </w:rPr>
        <w:t>Ikrafttredelse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>Forskriften trer i kraft straks og gjelder til og med 31. desember 2020.</w:t>
      </w:r>
    </w:p>
    <w:p w:rsidR="00D540D0" w:rsidRDefault="00160246">
      <w:pPr>
        <w:spacing w:before="120"/>
        <w:ind w:firstLine="180"/>
        <w:rPr>
          <w:sz w:val="22"/>
        </w:rPr>
      </w:pPr>
      <w:r>
        <w:rPr>
          <w:sz w:val="22"/>
        </w:rPr>
        <w:t xml:space="preserve">Samtidig oppheves </w:t>
      </w:r>
      <w:hyperlink r:id="rId49" w:anchor="reference/forskrift/2019-12-12-1716" w:history="1">
        <w:r>
          <w:rPr>
            <w:sz w:val="22"/>
          </w:rPr>
          <w:t>forskrift 12. desember 2019 nr. 1716</w:t>
        </w:r>
      </w:hyperlink>
      <w:r>
        <w:rPr>
          <w:sz w:val="22"/>
        </w:rPr>
        <w:t xml:space="preserve"> om forbud m</w:t>
      </w:r>
      <w:r>
        <w:rPr>
          <w:sz w:val="22"/>
        </w:rPr>
        <w:t>ot fiske etter makrellstørje (</w:t>
      </w:r>
      <w:r>
        <w:rPr>
          <w:i/>
          <w:sz w:val="22"/>
        </w:rPr>
        <w:t>Thunnus thynnus</w:t>
      </w:r>
      <w:r>
        <w:rPr>
          <w:sz w:val="22"/>
        </w:rPr>
        <w:t>) i 2020.</w:t>
      </w:r>
      <w:bookmarkEnd w:id="49"/>
      <w:bookmarkEnd w:id="4"/>
    </w:p>
    <w:sectPr w:rsidR="00D540D0">
      <w:headerReference w:type="default" r:id="rId50"/>
      <w:footerReference w:type="default" r:id="rId51"/>
      <w:pgSz w:w="11906" w:h="16838"/>
      <w:pgMar w:top="1020" w:right="1020" w:bottom="1020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60246">
      <w:r>
        <w:separator/>
      </w:r>
    </w:p>
  </w:endnote>
  <w:endnote w:type="continuationSeparator" w:id="0">
    <w:p w:rsidR="00000000" w:rsidRDefault="00160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0D0" w:rsidRDefault="00160246">
    <w:pPr>
      <w:jc w:val="center"/>
      <w:rPr>
        <w:sz w:val="22"/>
      </w:rPr>
    </w:pPr>
    <w:r>
      <w:rPr>
        <w:sz w:val="22"/>
      </w:rPr>
      <w:t xml:space="preserve"> </w:t>
    </w:r>
  </w:p>
  <w:p w:rsidR="00D540D0" w:rsidRDefault="00160246">
    <w:pPr>
      <w:jc w:val="center"/>
      <w:rPr>
        <w:sz w:val="22"/>
      </w:rPr>
    </w:pPr>
    <w:r>
      <w:rPr>
        <w:sz w:val="22"/>
      </w:rPr>
      <w:t>Forskrift om regulering av fisket etter makrellstørje (Thunnus thynnus) i 2020</w:t>
    </w:r>
  </w:p>
  <w:p w:rsidR="00D540D0" w:rsidRDefault="00160246">
    <w:pPr>
      <w:jc w:val="center"/>
      <w:rPr>
        <w:sz w:val="22"/>
      </w:rPr>
    </w:pPr>
    <w:r>
      <w:rPr>
        <w:sz w:val="22"/>
      </w:rPr>
      <w:t xml:space="preserve">Side </w:t>
    </w:r>
    <w:r>
      <w:rPr>
        <w:sz w:val="22"/>
      </w:rPr>
      <w:fldChar w:fldCharType="begin"/>
    </w:r>
    <w:r>
      <w:rPr>
        <w:sz w:val="22"/>
      </w:rPr>
      <w:instrText>PAGE</w:instrText>
    </w:r>
    <w:r>
      <w:rPr>
        <w:sz w:val="22"/>
      </w:rPr>
      <w:fldChar w:fldCharType="separate"/>
    </w:r>
    <w:r>
      <w:rPr>
        <w:noProof/>
        <w:sz w:val="22"/>
      </w:rPr>
      <w:t>1</w:t>
    </w:r>
    <w:r>
      <w:rPr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60246">
      <w:r>
        <w:separator/>
      </w:r>
    </w:p>
  </w:footnote>
  <w:footnote w:type="continuationSeparator" w:id="0">
    <w:p w:rsidR="00000000" w:rsidRDefault="00160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0D0" w:rsidRDefault="00160246">
    <w:pPr>
      <w:jc w:val="right"/>
      <w:rPr>
        <w:sz w:val="22"/>
      </w:rPr>
    </w:pPr>
    <w:r>
      <w:rPr>
        <w:sz w:val="22"/>
      </w:rPr>
      <w:t>Utskrift fra Lovdata - 15.09.2020 09:03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160246"/>
    <w:rsid w:val="00A77B3E"/>
    <w:rsid w:val="00CA2A55"/>
    <w:rsid w:val="00D54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1419078D-7627-40BB-9DD2-2FF31EAD9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Overskrift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EF7B96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EF7B96"/>
    <w:p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EF7B96"/>
    <w:pPr>
      <w:spacing w:before="240" w:after="60"/>
      <w:outlineLvl w:val="6"/>
    </w:pPr>
  </w:style>
  <w:style w:type="paragraph" w:styleId="Overskrift8">
    <w:name w:val="heading 8"/>
    <w:basedOn w:val="Normal"/>
    <w:next w:val="Normal"/>
    <w:qFormat/>
    <w:rsid w:val="00EF7B96"/>
    <w:pPr>
      <w:spacing w:before="240" w:after="60"/>
      <w:outlineLvl w:val="7"/>
    </w:pPr>
    <w:rPr>
      <w:i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NH1">
    <w:name w:val="toc 1"/>
    <w:basedOn w:val="Normal"/>
    <w:next w:val="Normal"/>
    <w:autoRedefine/>
    <w:rsid w:val="00805BCE"/>
    <w:rPr>
      <w:b/>
      <w:sz w:val="22"/>
    </w:rPr>
  </w:style>
  <w:style w:type="paragraph" w:styleId="INNH2">
    <w:name w:val="toc 2"/>
    <w:basedOn w:val="Normal"/>
    <w:next w:val="Normal"/>
    <w:autoRedefine/>
    <w:rsid w:val="00805BCE"/>
    <w:pPr>
      <w:ind w:left="240"/>
    </w:pPr>
    <w:rPr>
      <w:b/>
      <w:sz w:val="22"/>
    </w:rPr>
  </w:style>
  <w:style w:type="paragraph" w:styleId="INNH3">
    <w:name w:val="toc 3"/>
    <w:basedOn w:val="Normal"/>
    <w:next w:val="Normal"/>
    <w:autoRedefine/>
    <w:rsid w:val="00805BCE"/>
    <w:pPr>
      <w:ind w:left="480"/>
    </w:pPr>
    <w:rPr>
      <w:b/>
      <w:sz w:val="22"/>
    </w:rPr>
  </w:style>
  <w:style w:type="paragraph" w:styleId="INNH4">
    <w:name w:val="toc 4"/>
    <w:basedOn w:val="Normal"/>
    <w:next w:val="Normal"/>
    <w:autoRedefine/>
    <w:rsid w:val="00805BCE"/>
    <w:pPr>
      <w:ind w:left="720"/>
    </w:pPr>
    <w:rPr>
      <w:b/>
      <w:sz w:val="22"/>
    </w:rPr>
  </w:style>
  <w:style w:type="paragraph" w:styleId="INNH5">
    <w:name w:val="toc 5"/>
    <w:basedOn w:val="Normal"/>
    <w:next w:val="Normal"/>
    <w:autoRedefine/>
    <w:rsid w:val="00805BCE"/>
    <w:pPr>
      <w:ind w:left="960"/>
    </w:pPr>
    <w:rPr>
      <w:b/>
      <w:sz w:val="22"/>
    </w:rPr>
  </w:style>
  <w:style w:type="paragraph" w:styleId="INNH6">
    <w:name w:val="toc 6"/>
    <w:basedOn w:val="Normal"/>
    <w:next w:val="Normal"/>
    <w:autoRedefine/>
    <w:rsid w:val="00805BCE"/>
    <w:pPr>
      <w:ind w:left="1200"/>
    </w:pPr>
    <w:rPr>
      <w:b/>
      <w:sz w:val="22"/>
    </w:rPr>
  </w:style>
  <w:style w:type="paragraph" w:styleId="INNH7">
    <w:name w:val="toc 7"/>
    <w:basedOn w:val="Normal"/>
    <w:next w:val="Normal"/>
    <w:autoRedefine/>
    <w:rsid w:val="00805BCE"/>
    <w:pPr>
      <w:ind w:left="1440"/>
    </w:pPr>
    <w:rPr>
      <w:b/>
      <w:sz w:val="22"/>
    </w:rPr>
  </w:style>
  <w:style w:type="paragraph" w:styleId="INNH8">
    <w:name w:val="toc 8"/>
    <w:basedOn w:val="Normal"/>
    <w:next w:val="Normal"/>
    <w:autoRedefine/>
    <w:rsid w:val="00805BCE"/>
    <w:pPr>
      <w:ind w:left="1680"/>
    </w:pPr>
    <w:rPr>
      <w:b/>
      <w:sz w:val="22"/>
    </w:rPr>
  </w:style>
  <w:style w:type="paragraph" w:styleId="INNH9">
    <w:name w:val="toc 9"/>
    <w:basedOn w:val="Normal"/>
    <w:next w:val="Normal"/>
    <w:autoRedefine/>
    <w:rsid w:val="00805BCE"/>
    <w:pPr>
      <w:ind w:left="1920"/>
    </w:pPr>
    <w:rPr>
      <w:b/>
      <w:sz w:val="22"/>
    </w:rPr>
  </w:style>
  <w:style w:type="paragraph" w:styleId="Fotnotetekst">
    <w:name w:val="footnote text"/>
    <w:basedOn w:val="Normal"/>
    <w:rsid w:val="00805BCE"/>
    <w:rPr>
      <w:sz w:val="20"/>
      <w:szCs w:val="20"/>
    </w:rPr>
  </w:style>
  <w:style w:type="character" w:styleId="Hyperkobling">
    <w:name w:val="Hyperlink"/>
    <w:basedOn w:val="Standardskriftforavsnitt"/>
    <w:rsid w:val="00EF7B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vdata.no/pro" TargetMode="External"/><Relationship Id="rId18" Type="http://schemas.openxmlformats.org/officeDocument/2006/relationships/hyperlink" Target="https://lovdata.no/pro" TargetMode="External"/><Relationship Id="rId26" Type="http://schemas.openxmlformats.org/officeDocument/2006/relationships/hyperlink" Target="https://lovdata.no/pro" TargetMode="External"/><Relationship Id="rId39" Type="http://schemas.openxmlformats.org/officeDocument/2006/relationships/hyperlink" Target="https://lovdata.no/pro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vdata.no/pro" TargetMode="External"/><Relationship Id="rId34" Type="http://schemas.openxmlformats.org/officeDocument/2006/relationships/hyperlink" Target="https://lovdata.no/pro" TargetMode="External"/><Relationship Id="rId42" Type="http://schemas.openxmlformats.org/officeDocument/2006/relationships/hyperlink" Target="https://lovdata.no/pro" TargetMode="External"/><Relationship Id="rId47" Type="http://schemas.openxmlformats.org/officeDocument/2006/relationships/hyperlink" Target="https://lovdata.no/pro" TargetMode="External"/><Relationship Id="rId50" Type="http://schemas.openxmlformats.org/officeDocument/2006/relationships/header" Target="header1.xml"/><Relationship Id="rId7" Type="http://schemas.openxmlformats.org/officeDocument/2006/relationships/hyperlink" Target="https://lovdata.no/pro" TargetMode="External"/><Relationship Id="rId12" Type="http://schemas.openxmlformats.org/officeDocument/2006/relationships/hyperlink" Target="https://lovdata.no/pro" TargetMode="External"/><Relationship Id="rId17" Type="http://schemas.openxmlformats.org/officeDocument/2006/relationships/hyperlink" Target="https://lovdata.no/pro" TargetMode="External"/><Relationship Id="rId25" Type="http://schemas.openxmlformats.org/officeDocument/2006/relationships/hyperlink" Target="https://lovdata.no/pro" TargetMode="External"/><Relationship Id="rId33" Type="http://schemas.openxmlformats.org/officeDocument/2006/relationships/hyperlink" Target="https://lovdata.no/pro" TargetMode="External"/><Relationship Id="rId38" Type="http://schemas.openxmlformats.org/officeDocument/2006/relationships/hyperlink" Target="https://lovdata.no/pro" TargetMode="External"/><Relationship Id="rId46" Type="http://schemas.openxmlformats.org/officeDocument/2006/relationships/hyperlink" Target="https://lovdata.no/pro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vdata.no/pro" TargetMode="External"/><Relationship Id="rId20" Type="http://schemas.openxmlformats.org/officeDocument/2006/relationships/hyperlink" Target="https://lovdata.no/pro" TargetMode="External"/><Relationship Id="rId29" Type="http://schemas.openxmlformats.org/officeDocument/2006/relationships/hyperlink" Target="https://lovdata.no/pro" TargetMode="External"/><Relationship Id="rId41" Type="http://schemas.openxmlformats.org/officeDocument/2006/relationships/hyperlink" Target="https://lovdata.no/pro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vdata.no/pro" TargetMode="External"/><Relationship Id="rId24" Type="http://schemas.openxmlformats.org/officeDocument/2006/relationships/hyperlink" Target="https://lovdata.no/pro" TargetMode="External"/><Relationship Id="rId32" Type="http://schemas.openxmlformats.org/officeDocument/2006/relationships/hyperlink" Target="https://lovdata.no/pro" TargetMode="External"/><Relationship Id="rId37" Type="http://schemas.openxmlformats.org/officeDocument/2006/relationships/hyperlink" Target="https://lovdata.no/pro" TargetMode="External"/><Relationship Id="rId40" Type="http://schemas.openxmlformats.org/officeDocument/2006/relationships/hyperlink" Target="https://lovdata.no/pro" TargetMode="External"/><Relationship Id="rId45" Type="http://schemas.openxmlformats.org/officeDocument/2006/relationships/hyperlink" Target="https://lovdata.no/pro" TargetMode="External"/><Relationship Id="rId53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s://lovdata.no/pro" TargetMode="External"/><Relationship Id="rId23" Type="http://schemas.openxmlformats.org/officeDocument/2006/relationships/hyperlink" Target="https://lovdata.no/pro" TargetMode="External"/><Relationship Id="rId28" Type="http://schemas.openxmlformats.org/officeDocument/2006/relationships/hyperlink" Target="https://lovdata.no/pro" TargetMode="External"/><Relationship Id="rId36" Type="http://schemas.openxmlformats.org/officeDocument/2006/relationships/hyperlink" Target="https://lovdata.no/pro" TargetMode="External"/><Relationship Id="rId49" Type="http://schemas.openxmlformats.org/officeDocument/2006/relationships/hyperlink" Target="https://lovdata.no/pro" TargetMode="External"/><Relationship Id="rId10" Type="http://schemas.openxmlformats.org/officeDocument/2006/relationships/hyperlink" Target="https://lovdata.no/pro" TargetMode="External"/><Relationship Id="rId19" Type="http://schemas.openxmlformats.org/officeDocument/2006/relationships/hyperlink" Target="https://lovdata.no/pro" TargetMode="External"/><Relationship Id="rId31" Type="http://schemas.openxmlformats.org/officeDocument/2006/relationships/hyperlink" Target="https://www.fiskeridir.no" TargetMode="External"/><Relationship Id="rId44" Type="http://schemas.openxmlformats.org/officeDocument/2006/relationships/hyperlink" Target="https://lovdata.no/pro" TargetMode="External"/><Relationship Id="rId52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lovdata.no/pro" TargetMode="External"/><Relationship Id="rId14" Type="http://schemas.openxmlformats.org/officeDocument/2006/relationships/hyperlink" Target="https://lovdata.no/pro" TargetMode="External"/><Relationship Id="rId22" Type="http://schemas.openxmlformats.org/officeDocument/2006/relationships/hyperlink" Target="https://lovdata.no/pro" TargetMode="External"/><Relationship Id="rId27" Type="http://schemas.openxmlformats.org/officeDocument/2006/relationships/hyperlink" Target="https://lovdata.no/pro" TargetMode="External"/><Relationship Id="rId30" Type="http://schemas.openxmlformats.org/officeDocument/2006/relationships/hyperlink" Target="https://lovdata.no/pro" TargetMode="External"/><Relationship Id="rId35" Type="http://schemas.openxmlformats.org/officeDocument/2006/relationships/hyperlink" Target="https://lovdata.no/pro" TargetMode="External"/><Relationship Id="rId43" Type="http://schemas.openxmlformats.org/officeDocument/2006/relationships/hyperlink" Target="https://lovdata.no/pro" TargetMode="External"/><Relationship Id="rId48" Type="http://schemas.openxmlformats.org/officeDocument/2006/relationships/hyperlink" Target="https://lovdata.no/pro" TargetMode="External"/><Relationship Id="rId8" Type="http://schemas.openxmlformats.org/officeDocument/2006/relationships/hyperlink" Target="https://lovdata.no/pro" TargetMode="External"/><Relationship Id="rId5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2364</Words>
  <Characters>12534</Characters>
  <Application>Microsoft Office Word</Application>
  <DocSecurity>0</DocSecurity>
  <Lines>104</Lines>
  <Paragraphs>29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Forskrift om regulering av fisket etter makrellstørje (Thunnus thynnus) i 2020</vt:lpstr>
      <vt:lpstr/>
    </vt:vector>
  </TitlesOfParts>
  <Company>Stiftelsen Lovdata</Company>
  <LinksUpToDate>false</LinksUpToDate>
  <CharactersWithSpaces>14869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Forskrift om regulering av fisket etter makrellstørje (Thunnus thynnus) i 2020</dc:title>
  <dc:subject>Forskrift om regulering av fisket etter makrellstørje (Thunnus thynnus) i 2020</dc:subject>
  <dc:creator>Stiftelsen Lovdata</dc:creator>
  <cp:lastModifiedBy>Maja K. Rodriguez Brix</cp:lastModifiedBy>
  <cp:revision>2</cp:revision>
  <dcterms:created xsi:type="dcterms:W3CDTF">2020-09-15T07:04:00Z</dcterms:created>
  <dcterms:modified xsi:type="dcterms:W3CDTF">2020-09-15T07:04:00Z</dcterms:modified>
  <cp:category>Juridisk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faultFont">
    <vt:lpwstr>Times New Roman</vt:lpwstr>
  </property>
  <property fmtid="{D5CDD505-2E9C-101B-9397-08002B2CF9AE}" pid="3" name="Lovdata-UID">
    <vt:i4>4328</vt:i4>
  </property>
</Properties>
</file>